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88F75">
      <w:pPr>
        <w:jc w:val="center"/>
        <w:rPr>
          <w:rFonts w:hint="eastAsia" w:ascii="宋体" w:hAnsi="宋体" w:eastAsia="宋体" w:cs="宋体"/>
          <w:b/>
          <w:bCs/>
          <w:color w:val="auto"/>
          <w:sz w:val="32"/>
          <w:szCs w:val="32"/>
          <w:u w:val="none"/>
          <w:lang w:eastAsia="zh-CN"/>
        </w:rPr>
      </w:pPr>
      <w:bookmarkStart w:id="0" w:name="_GoBack"/>
      <w:r>
        <w:rPr>
          <w:rFonts w:hint="eastAsia" w:ascii="宋体" w:hAnsi="宋体" w:eastAsia="宋体" w:cs="宋体"/>
          <w:b/>
          <w:bCs/>
          <w:color w:val="auto"/>
          <w:sz w:val="32"/>
          <w:szCs w:val="32"/>
          <w:u w:val="none"/>
          <w:lang w:eastAsia="zh-CN"/>
        </w:rPr>
        <w:t>扬州易丰源环保科技有限公司</w:t>
      </w:r>
    </w:p>
    <w:p w14:paraId="0A6B9BD7">
      <w:pPr>
        <w:jc w:val="center"/>
        <w:rPr>
          <w:rFonts w:hint="default" w:ascii="宋体" w:hAnsi="宋体" w:eastAsia="宋体" w:cs="宋体"/>
          <w:b/>
          <w:bCs/>
          <w:sz w:val="32"/>
          <w:szCs w:val="32"/>
          <w:u w:val="none"/>
          <w:lang w:val="en-US" w:eastAsia="zh-CN"/>
        </w:rPr>
      </w:pPr>
      <w:r>
        <w:rPr>
          <w:rFonts w:hint="eastAsia" w:ascii="宋体" w:hAnsi="宋体" w:eastAsia="宋体" w:cs="宋体"/>
          <w:b/>
          <w:bCs/>
          <w:sz w:val="32"/>
          <w:szCs w:val="32"/>
          <w:u w:val="none"/>
          <w:lang w:val="en-US" w:eastAsia="zh-CN"/>
        </w:rPr>
        <w:t>危险废物规范化集中收集项目试运行计划</w:t>
      </w:r>
    </w:p>
    <w:bookmarkEnd w:id="0"/>
    <w:p w14:paraId="64398AAE">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Times New Roman" w:hAnsi="Times New Roman" w:eastAsia="宋体"/>
          <w:sz w:val="24"/>
          <w:lang w:val="en-US" w:eastAsia="zh-CN"/>
        </w:rPr>
      </w:pPr>
      <w:r>
        <w:rPr>
          <w:rFonts w:hint="eastAsia" w:ascii="Times New Roman" w:hAnsi="Times New Roman" w:eastAsia="宋体"/>
          <w:sz w:val="24"/>
          <w:lang w:val="en-US" w:eastAsia="zh-CN"/>
        </w:rPr>
        <w:t>扬州易丰源环保科技有限公司危险废物规范化集中收集项目在完成各项前置审批的基础上，于2025年12月开工建设，2026年7月建设完成，公司拟于近期开始试运行，以检验设备运行能力及环保治理设施。</w:t>
      </w:r>
    </w:p>
    <w:p w14:paraId="11D53641">
      <w:pPr>
        <w:pStyle w:val="17"/>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eastAsia" w:ascii="Times New Roman" w:hAnsi="Times New Roman" w:eastAsia="宋体"/>
          <w:b/>
          <w:bCs/>
          <w:sz w:val="24"/>
          <w:lang w:val="en-US" w:eastAsia="zh-CN"/>
        </w:rPr>
      </w:pPr>
      <w:r>
        <w:rPr>
          <w:rFonts w:hint="eastAsia" w:ascii="Times New Roman" w:hAnsi="Times New Roman" w:eastAsia="宋体"/>
          <w:b/>
          <w:bCs/>
          <w:sz w:val="24"/>
          <w:lang w:val="en-US" w:eastAsia="zh-CN"/>
        </w:rPr>
        <w:t>一、项目环评审批情况</w:t>
      </w:r>
    </w:p>
    <w:p w14:paraId="04013D21">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imes New Roman" w:hAnsi="Times New Roman" w:eastAsia="宋体" w:cs="Times New Roman"/>
          <w:spacing w:val="14"/>
          <w:sz w:val="24"/>
          <w:szCs w:val="24"/>
        </w:rPr>
      </w:pPr>
      <w:r>
        <w:rPr>
          <w:rFonts w:hint="default" w:ascii="Times New Roman" w:hAnsi="Times New Roman" w:eastAsia="宋体"/>
          <w:sz w:val="24"/>
          <w:lang w:val="en-US" w:eastAsia="zh-CN"/>
        </w:rPr>
        <w:t>扬州市</w:t>
      </w:r>
      <w:r>
        <w:rPr>
          <w:rFonts w:hint="eastAsia" w:ascii="Times New Roman" w:hAnsi="Times New Roman" w:eastAsia="宋体"/>
          <w:sz w:val="24"/>
          <w:lang w:val="en-US" w:eastAsia="zh-CN"/>
        </w:rPr>
        <w:t>邗江</w:t>
      </w:r>
      <w:r>
        <w:rPr>
          <w:rFonts w:hint="default" w:ascii="Times New Roman" w:hAnsi="Times New Roman" w:eastAsia="宋体"/>
          <w:sz w:val="24"/>
          <w:lang w:val="en-US" w:eastAsia="zh-CN"/>
        </w:rPr>
        <w:t>生态环境局202</w:t>
      </w:r>
      <w:r>
        <w:rPr>
          <w:rFonts w:hint="eastAsia" w:ascii="Times New Roman" w:hAnsi="Times New Roman" w:eastAsia="宋体"/>
          <w:sz w:val="24"/>
          <w:lang w:val="en-US" w:eastAsia="zh-CN"/>
        </w:rPr>
        <w:t>5</w:t>
      </w:r>
      <w:r>
        <w:rPr>
          <w:rFonts w:hint="default" w:ascii="Times New Roman" w:hAnsi="Times New Roman" w:eastAsia="宋体"/>
          <w:sz w:val="24"/>
          <w:lang w:val="en-US" w:eastAsia="zh-CN"/>
        </w:rPr>
        <w:t>年</w:t>
      </w:r>
      <w:r>
        <w:rPr>
          <w:rFonts w:hint="eastAsia" w:ascii="Times New Roman" w:hAnsi="Times New Roman" w:eastAsia="宋体"/>
          <w:sz w:val="24"/>
          <w:lang w:val="en-US" w:eastAsia="zh-CN"/>
        </w:rPr>
        <w:t>11</w:t>
      </w:r>
      <w:r>
        <w:rPr>
          <w:rFonts w:hint="default" w:ascii="Times New Roman" w:hAnsi="Times New Roman" w:eastAsia="宋体"/>
          <w:sz w:val="24"/>
          <w:lang w:val="en-US" w:eastAsia="zh-CN"/>
        </w:rPr>
        <w:t>月</w:t>
      </w:r>
      <w:r>
        <w:rPr>
          <w:rFonts w:hint="eastAsia" w:ascii="Times New Roman" w:hAnsi="Times New Roman" w:eastAsia="宋体"/>
          <w:sz w:val="24"/>
          <w:lang w:val="en-US" w:eastAsia="zh-CN"/>
        </w:rPr>
        <w:t>14</w:t>
      </w:r>
      <w:r>
        <w:rPr>
          <w:rFonts w:hint="default" w:ascii="Times New Roman" w:hAnsi="Times New Roman" w:eastAsia="宋体"/>
          <w:sz w:val="24"/>
          <w:lang w:val="en-US" w:eastAsia="zh-CN"/>
        </w:rPr>
        <w:t xml:space="preserve">日以“扬环审批[2025]05-47号”批复了该项目。 </w:t>
      </w:r>
    </w:p>
    <w:p w14:paraId="49E1EDDE">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Times New Roman" w:hAnsi="Times New Roman" w:eastAsia="宋体"/>
          <w:sz w:val="24"/>
          <w:lang w:val="en-US" w:eastAsia="zh-CN"/>
        </w:rPr>
      </w:pPr>
      <w:r>
        <w:rPr>
          <w:rFonts w:hint="default" w:ascii="Times New Roman" w:hAnsi="Times New Roman" w:eastAsia="宋体"/>
          <w:sz w:val="24"/>
          <w:lang w:val="en-US" w:eastAsia="zh-CN"/>
        </w:rPr>
        <w:t>危险废物经营方式：</w:t>
      </w:r>
      <w:r>
        <w:rPr>
          <w:rFonts w:hint="eastAsia" w:ascii="Times New Roman" w:hAnsi="Times New Roman" w:eastAsia="宋体"/>
          <w:sz w:val="24"/>
          <w:lang w:val="en-US" w:eastAsia="zh-CN"/>
        </w:rPr>
        <w:t>贮存</w:t>
      </w:r>
    </w:p>
    <w:p w14:paraId="4C78C109">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imes New Roman" w:hAnsi="Times New Roman" w:eastAsia="宋体"/>
          <w:sz w:val="24"/>
          <w:lang w:val="en-US" w:eastAsia="zh-CN"/>
        </w:rPr>
      </w:pPr>
      <w:r>
        <w:rPr>
          <w:rFonts w:hint="default" w:ascii="Times New Roman" w:hAnsi="Times New Roman" w:eastAsia="宋体"/>
          <w:sz w:val="24"/>
          <w:lang w:val="en-US" w:eastAsia="zh-CN"/>
        </w:rPr>
        <w:t>经营规模：年收集规模5000吨的危险废物</w:t>
      </w:r>
    </w:p>
    <w:p w14:paraId="3F7B36D3">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imes New Roman" w:hAnsi="Times New Roman" w:eastAsia="宋体"/>
          <w:sz w:val="24"/>
          <w:lang w:val="en-US" w:eastAsia="zh-CN"/>
        </w:rPr>
      </w:pPr>
      <w:r>
        <w:rPr>
          <w:rFonts w:hint="default" w:ascii="Times New Roman" w:hAnsi="Times New Roman" w:eastAsia="宋体"/>
          <w:sz w:val="24"/>
          <w:lang w:val="en-US" w:eastAsia="zh-CN"/>
        </w:rPr>
        <w:t>经营类别：利用及处置</w:t>
      </w:r>
    </w:p>
    <w:p w14:paraId="032C2239">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Times New Roman" w:hAnsi="Times New Roman" w:eastAsia="宋体"/>
          <w:kern w:val="0"/>
          <w:sz w:val="24"/>
          <w:lang w:val="en-US" w:eastAsia="zh-CN"/>
        </w:rPr>
      </w:pPr>
      <w:r>
        <w:rPr>
          <w:rFonts w:hint="default" w:ascii="Times New Roman" w:hAnsi="Times New Roman" w:eastAsia="宋体" w:cs="Times New Roman"/>
          <w:sz w:val="24"/>
          <w:lang w:val="en-US" w:eastAsia="zh-CN"/>
        </w:rPr>
        <w:t>危险废物类别：</w:t>
      </w:r>
      <w:r>
        <w:rPr>
          <w:rFonts w:hint="eastAsia" w:ascii="Times New Roman" w:hAnsi="Times New Roman" w:eastAsia="宋体" w:cs="Times New Roman"/>
          <w:sz w:val="24"/>
          <w:lang w:val="en-US" w:eastAsia="zh-CN"/>
        </w:rPr>
        <w:t>次生</w:t>
      </w:r>
      <w:r>
        <w:rPr>
          <w:rFonts w:hint="default" w:ascii="Times New Roman" w:hAnsi="Times New Roman" w:eastAsia="宋体" w:cs="Times New Roman"/>
          <w:sz w:val="24"/>
          <w:lang w:val="en-US" w:eastAsia="zh-CN"/>
        </w:rPr>
        <w:t>危险固废包括</w:t>
      </w:r>
      <w:r>
        <w:rPr>
          <w:rFonts w:hint="eastAsia" w:ascii="Times New Roman" w:hAnsi="Times New Roman" w:eastAsia="宋体" w:cs="Times New Roman"/>
          <w:sz w:val="24"/>
          <w:lang w:val="en-US" w:eastAsia="zh-CN"/>
        </w:rPr>
        <w:t>：</w:t>
      </w:r>
      <w:r>
        <w:rPr>
          <w:rFonts w:hint="eastAsia"/>
          <w:color w:val="auto"/>
          <w:szCs w:val="21"/>
        </w:rPr>
        <w:t>废活性炭</w:t>
      </w:r>
      <w:r>
        <w:rPr>
          <w:rFonts w:hint="eastAsia"/>
          <w:color w:val="auto"/>
          <w:szCs w:val="21"/>
          <w:lang w:eastAsia="zh-CN"/>
        </w:rPr>
        <w:t>（</w:t>
      </w:r>
      <w:r>
        <w:rPr>
          <w:rFonts w:hint="default" w:ascii="Times New Roman" w:hAnsi="Times New Roman" w:cs="Times New Roman"/>
          <w:color w:val="auto"/>
          <w:szCs w:val="21"/>
          <w:lang w:val="en-US" w:eastAsia="zh-CN"/>
        </w:rPr>
        <w:t>HW49</w:t>
      </w:r>
      <w:r>
        <w:rPr>
          <w:rFonts w:hint="eastAsia"/>
          <w:color w:val="auto"/>
          <w:szCs w:val="21"/>
          <w:lang w:eastAsia="zh-CN"/>
        </w:rPr>
        <w:t>）、</w:t>
      </w:r>
      <w:r>
        <w:rPr>
          <w:rFonts w:hint="eastAsia"/>
          <w:color w:val="auto"/>
          <w:szCs w:val="21"/>
          <w:lang w:val="en-US" w:eastAsia="zh-CN"/>
        </w:rPr>
        <w:t>废吸附棉（</w:t>
      </w:r>
      <w:r>
        <w:rPr>
          <w:rFonts w:hint="default" w:ascii="Times New Roman" w:hAnsi="Times New Roman" w:cs="Times New Roman"/>
          <w:color w:val="auto"/>
          <w:szCs w:val="21"/>
          <w:lang w:val="en-US" w:eastAsia="zh-CN"/>
        </w:rPr>
        <w:t>HW49</w:t>
      </w:r>
      <w:r>
        <w:rPr>
          <w:rFonts w:hint="eastAsia"/>
          <w:color w:val="auto"/>
          <w:szCs w:val="21"/>
          <w:lang w:val="en-US" w:eastAsia="zh-CN"/>
        </w:rPr>
        <w:t>）、废防护服（</w:t>
      </w:r>
      <w:r>
        <w:rPr>
          <w:rFonts w:hint="default" w:ascii="Times New Roman" w:hAnsi="Times New Roman" w:cs="Times New Roman"/>
          <w:color w:val="auto"/>
          <w:szCs w:val="21"/>
          <w:lang w:val="en-US" w:eastAsia="zh-CN"/>
        </w:rPr>
        <w:t>HW49</w:t>
      </w:r>
      <w:r>
        <w:rPr>
          <w:rFonts w:hint="eastAsia"/>
          <w:color w:val="auto"/>
          <w:szCs w:val="21"/>
          <w:lang w:val="en-US" w:eastAsia="zh-CN"/>
        </w:rPr>
        <w:t>）、喷淋废液（</w:t>
      </w:r>
      <w:r>
        <w:rPr>
          <w:rFonts w:hint="default" w:ascii="Times New Roman" w:hAnsi="Times New Roman" w:cs="Times New Roman"/>
          <w:color w:val="auto"/>
          <w:szCs w:val="21"/>
          <w:lang w:val="en-US" w:eastAsia="zh-CN"/>
        </w:rPr>
        <w:t>HW</w:t>
      </w:r>
      <w:r>
        <w:rPr>
          <w:rFonts w:hint="eastAsia" w:ascii="Times New Roman" w:hAnsi="Times New Roman" w:cs="Times New Roman"/>
          <w:color w:val="auto"/>
          <w:szCs w:val="21"/>
          <w:lang w:val="en-US" w:eastAsia="zh-CN"/>
        </w:rPr>
        <w:t>35</w:t>
      </w:r>
      <w:r>
        <w:rPr>
          <w:rFonts w:hint="eastAsia"/>
          <w:color w:val="auto"/>
          <w:szCs w:val="21"/>
          <w:lang w:val="en-US" w:eastAsia="zh-CN"/>
        </w:rPr>
        <w:t>）、实验室废液（</w:t>
      </w:r>
      <w:r>
        <w:rPr>
          <w:rFonts w:hint="default" w:ascii="Times New Roman" w:hAnsi="Times New Roman" w:cs="Times New Roman"/>
          <w:color w:val="auto"/>
          <w:szCs w:val="21"/>
          <w:lang w:val="en-US" w:eastAsia="zh-CN"/>
        </w:rPr>
        <w:t>HW49</w:t>
      </w:r>
      <w:r>
        <w:rPr>
          <w:rFonts w:hint="eastAsia"/>
          <w:color w:val="auto"/>
          <w:szCs w:val="21"/>
          <w:lang w:val="en-US" w:eastAsia="zh-CN"/>
        </w:rPr>
        <w:t>）、废电解液（</w:t>
      </w:r>
      <w:r>
        <w:rPr>
          <w:rFonts w:hint="default" w:ascii="Times New Roman" w:hAnsi="Times New Roman" w:cs="Times New Roman"/>
          <w:color w:val="auto"/>
          <w:szCs w:val="21"/>
          <w:lang w:val="en-US" w:eastAsia="zh-CN"/>
        </w:rPr>
        <w:t>HW</w:t>
      </w:r>
      <w:r>
        <w:rPr>
          <w:rFonts w:hint="eastAsia" w:ascii="Times New Roman" w:hAnsi="Times New Roman" w:cs="Times New Roman"/>
          <w:color w:val="auto"/>
          <w:szCs w:val="21"/>
          <w:lang w:val="en-US" w:eastAsia="zh-CN"/>
        </w:rPr>
        <w:t>31</w:t>
      </w:r>
      <w:r>
        <w:rPr>
          <w:rFonts w:hint="eastAsia"/>
          <w:color w:val="auto"/>
          <w:szCs w:val="21"/>
          <w:lang w:val="en-US" w:eastAsia="zh-CN"/>
        </w:rPr>
        <w:t>）、废填料（</w:t>
      </w:r>
      <w:r>
        <w:rPr>
          <w:rFonts w:hint="default" w:ascii="Times New Roman" w:hAnsi="Times New Roman" w:cs="Times New Roman"/>
          <w:color w:val="auto"/>
          <w:szCs w:val="21"/>
          <w:lang w:val="en-US" w:eastAsia="zh-CN"/>
        </w:rPr>
        <w:t>HW49</w:t>
      </w:r>
      <w:r>
        <w:rPr>
          <w:rFonts w:hint="eastAsia"/>
          <w:color w:val="auto"/>
          <w:szCs w:val="21"/>
          <w:lang w:val="en-US" w:eastAsia="zh-CN"/>
        </w:rPr>
        <w:t>）、废液压油（</w:t>
      </w:r>
      <w:r>
        <w:rPr>
          <w:rFonts w:hint="default" w:ascii="Times New Roman" w:hAnsi="Times New Roman" w:cs="Times New Roman"/>
          <w:color w:val="auto"/>
          <w:szCs w:val="21"/>
          <w:lang w:val="en-US" w:eastAsia="zh-CN"/>
        </w:rPr>
        <w:t>HW</w:t>
      </w:r>
      <w:r>
        <w:rPr>
          <w:rFonts w:hint="eastAsia" w:ascii="Times New Roman" w:hAnsi="Times New Roman" w:cs="Times New Roman"/>
          <w:color w:val="auto"/>
          <w:szCs w:val="21"/>
          <w:lang w:val="en-US" w:eastAsia="zh-CN"/>
        </w:rPr>
        <w:t>08</w:t>
      </w:r>
      <w:r>
        <w:rPr>
          <w:rFonts w:hint="eastAsia"/>
          <w:color w:val="auto"/>
          <w:szCs w:val="21"/>
          <w:lang w:val="en-US" w:eastAsia="zh-CN"/>
        </w:rPr>
        <w:t>）、</w:t>
      </w:r>
      <w:r>
        <w:rPr>
          <w:rFonts w:hint="default" w:ascii="Times New Roman" w:hAnsi="Times New Roman" w:cs="Times New Roman"/>
          <w:color w:val="auto"/>
          <w:szCs w:val="21"/>
          <w:lang w:val="en-US" w:eastAsia="zh-CN"/>
        </w:rPr>
        <w:t>PE耐酸耐腐蚀暂存箱（HW49）、PE耐酸耐腐蚀暂存桶</w:t>
      </w:r>
      <w:r>
        <w:rPr>
          <w:rFonts w:hint="default" w:ascii="Times New Roman" w:hAnsi="Times New Roman" w:cs="Times New Roman"/>
          <w:color w:val="auto"/>
          <w:szCs w:val="21"/>
          <w:lang w:val="en-US" w:eastAsia="zh-CN"/>
        </w:rPr>
        <w:t>（HW49）</w:t>
      </w:r>
      <w:r>
        <w:rPr>
          <w:rFonts w:hint="default" w:ascii="Times New Roman" w:hAnsi="Times New Roman" w:eastAsia="宋体" w:cs="Times New Roman"/>
          <w:sz w:val="24"/>
          <w:lang w:val="en-US" w:eastAsia="zh-CN"/>
        </w:rPr>
        <w:t>。</w:t>
      </w:r>
    </w:p>
    <w:p w14:paraId="3B14864E">
      <w:pPr>
        <w:pStyle w:val="17"/>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jc w:val="both"/>
        <w:textAlignment w:val="auto"/>
        <w:rPr>
          <w:rFonts w:hint="eastAsia" w:ascii="Times New Roman" w:hAnsi="Times New Roman" w:eastAsia="宋体"/>
          <w:b/>
          <w:bCs/>
          <w:sz w:val="24"/>
          <w:lang w:val="en-US" w:eastAsia="zh-CN"/>
        </w:rPr>
      </w:pPr>
      <w:r>
        <w:rPr>
          <w:rFonts w:hint="eastAsia" w:ascii="Times New Roman" w:hAnsi="Times New Roman" w:eastAsia="宋体"/>
          <w:b/>
          <w:bCs/>
          <w:sz w:val="24"/>
          <w:lang w:val="en-US" w:eastAsia="zh-CN"/>
        </w:rPr>
        <w:t>二、项目建设基本情况</w:t>
      </w:r>
    </w:p>
    <w:p w14:paraId="1131558F">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2" w:firstLineChars="200"/>
        <w:jc w:val="both"/>
        <w:textAlignment w:val="auto"/>
        <w:rPr>
          <w:rFonts w:hint="default" w:ascii="Times New Roman" w:hAnsi="Times New Roman" w:eastAsia="宋体"/>
          <w:b/>
          <w:bCs/>
          <w:sz w:val="24"/>
          <w:lang w:val="en-US" w:eastAsia="zh-CN"/>
        </w:rPr>
      </w:pPr>
      <w:r>
        <w:rPr>
          <w:rFonts w:hint="eastAsia" w:ascii="Times New Roman" w:hAnsi="Times New Roman" w:eastAsia="宋体"/>
          <w:b/>
          <w:bCs/>
          <w:sz w:val="24"/>
          <w:lang w:val="en-US" w:eastAsia="zh-CN"/>
        </w:rPr>
        <w:t>1、项目基本情况</w:t>
      </w:r>
    </w:p>
    <w:p w14:paraId="76F37043">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Times New Roman" w:hAnsi="Times New Roman" w:eastAsia="宋体"/>
          <w:sz w:val="24"/>
          <w:lang w:val="en-US" w:eastAsia="zh-CN"/>
        </w:rPr>
      </w:pPr>
      <w:r>
        <w:rPr>
          <w:rFonts w:hint="default" w:ascii="Times New Roman" w:hAnsi="Times New Roman" w:eastAsia="宋体"/>
          <w:sz w:val="24"/>
          <w:lang w:val="en-US" w:eastAsia="zh-CN"/>
        </w:rPr>
        <w:t>项目名称：</w:t>
      </w:r>
      <w:r>
        <w:rPr>
          <w:rFonts w:hint="eastAsia" w:ascii="Times New Roman" w:hAnsi="Times New Roman" w:eastAsia="宋体"/>
          <w:sz w:val="24"/>
          <w:lang w:val="en-US" w:eastAsia="zh-CN"/>
        </w:rPr>
        <w:t>扬州易丰源环保科技有限公司危险废物规范化集中收集项目</w:t>
      </w:r>
    </w:p>
    <w:p w14:paraId="11525981">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imes New Roman" w:hAnsi="Times New Roman" w:eastAsia="宋体"/>
          <w:sz w:val="24"/>
          <w:lang w:val="en-US" w:eastAsia="zh-CN"/>
        </w:rPr>
      </w:pPr>
      <w:r>
        <w:rPr>
          <w:rFonts w:hint="default" w:ascii="Times New Roman" w:hAnsi="Times New Roman" w:eastAsia="宋体"/>
          <w:sz w:val="24"/>
          <w:lang w:val="en-US" w:eastAsia="zh-CN"/>
        </w:rPr>
        <w:t>建设单位：</w:t>
      </w:r>
      <w:r>
        <w:rPr>
          <w:rFonts w:hint="eastAsia" w:ascii="Times New Roman" w:hAnsi="Times New Roman" w:eastAsia="宋体"/>
          <w:sz w:val="24"/>
          <w:lang w:val="en-US" w:eastAsia="zh-CN"/>
        </w:rPr>
        <w:t>扬州易丰源环保科技有限公司</w:t>
      </w:r>
    </w:p>
    <w:p w14:paraId="31647B77">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imes New Roman" w:hAnsi="Times New Roman" w:eastAsia="宋体"/>
          <w:sz w:val="24"/>
          <w:lang w:val="en-US" w:eastAsia="zh-CN"/>
        </w:rPr>
      </w:pPr>
      <w:r>
        <w:rPr>
          <w:rFonts w:hint="default" w:ascii="Times New Roman" w:hAnsi="Times New Roman" w:eastAsia="宋体"/>
          <w:sz w:val="24"/>
          <w:lang w:val="en-US" w:eastAsia="zh-CN"/>
        </w:rPr>
        <w:t>建设性质：新建</w:t>
      </w:r>
    </w:p>
    <w:p w14:paraId="6294339C">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imes New Roman" w:hAnsi="Times New Roman" w:eastAsia="宋体"/>
          <w:sz w:val="24"/>
          <w:lang w:val="en-US" w:eastAsia="zh-CN"/>
        </w:rPr>
      </w:pPr>
      <w:r>
        <w:rPr>
          <w:rFonts w:hint="default" w:ascii="Times New Roman" w:hAnsi="Times New Roman" w:eastAsia="宋体"/>
          <w:sz w:val="24"/>
          <w:lang w:val="en-US" w:eastAsia="zh-CN"/>
        </w:rPr>
        <w:t>行业类别：N7724危险废物治理业</w:t>
      </w:r>
    </w:p>
    <w:p w14:paraId="36DF9D83">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imes New Roman" w:hAnsi="Times New Roman" w:eastAsia="宋体"/>
          <w:sz w:val="24"/>
          <w:lang w:val="en-US" w:eastAsia="zh-CN"/>
        </w:rPr>
      </w:pPr>
      <w:r>
        <w:rPr>
          <w:rFonts w:hint="default" w:ascii="Times New Roman" w:hAnsi="Times New Roman" w:eastAsia="宋体"/>
          <w:sz w:val="24"/>
          <w:lang w:val="en-US" w:eastAsia="zh-CN"/>
        </w:rPr>
        <w:t>投资总额：总投资</w:t>
      </w:r>
      <w:r>
        <w:rPr>
          <w:rFonts w:hint="eastAsia" w:ascii="Times New Roman" w:hAnsi="Times New Roman" w:eastAsia="宋体"/>
          <w:sz w:val="24"/>
          <w:lang w:val="en-US" w:eastAsia="zh-CN"/>
        </w:rPr>
        <w:t>600万</w:t>
      </w:r>
      <w:r>
        <w:rPr>
          <w:rFonts w:hint="default" w:ascii="Times New Roman" w:hAnsi="Times New Roman" w:eastAsia="宋体"/>
          <w:sz w:val="24"/>
          <w:lang w:val="en-US" w:eastAsia="zh-CN"/>
        </w:rPr>
        <w:t>元，其中环保投资额</w:t>
      </w:r>
      <w:r>
        <w:rPr>
          <w:rFonts w:hint="eastAsia" w:ascii="Times New Roman" w:hAnsi="Times New Roman" w:eastAsia="宋体"/>
          <w:sz w:val="24"/>
          <w:lang w:val="en-US" w:eastAsia="zh-CN"/>
        </w:rPr>
        <w:t>180</w:t>
      </w:r>
      <w:r>
        <w:rPr>
          <w:rFonts w:hint="default" w:ascii="Times New Roman" w:hAnsi="Times New Roman" w:eastAsia="宋体"/>
          <w:sz w:val="24"/>
          <w:lang w:val="en-US" w:eastAsia="zh-CN"/>
        </w:rPr>
        <w:t>万元。</w:t>
      </w:r>
    </w:p>
    <w:p w14:paraId="2B92A423">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default" w:ascii="Times New Roman" w:hAnsi="Times New Roman" w:eastAsia="宋体"/>
          <w:sz w:val="24"/>
          <w:lang w:val="en-US" w:eastAsia="zh-CN"/>
        </w:rPr>
      </w:pPr>
      <w:r>
        <w:rPr>
          <w:rFonts w:hint="default" w:ascii="Times New Roman" w:hAnsi="Times New Roman" w:eastAsia="宋体"/>
          <w:sz w:val="24"/>
          <w:lang w:val="en-US" w:eastAsia="zh-CN"/>
        </w:rPr>
        <w:t>占地面积：</w:t>
      </w:r>
      <w:r>
        <w:rPr>
          <w:rFonts w:hint="eastAsia" w:ascii="Times New Roman" w:hAnsi="Times New Roman" w:eastAsia="宋体"/>
          <w:sz w:val="24"/>
          <w:lang w:val="en-US" w:eastAsia="zh-CN"/>
        </w:rPr>
        <w:t>1513m</w:t>
      </w:r>
      <w:r>
        <w:rPr>
          <w:rFonts w:hint="eastAsia" w:ascii="Times New Roman" w:hAnsi="Times New Roman" w:eastAsia="宋体"/>
          <w:sz w:val="24"/>
          <w:vertAlign w:val="superscript"/>
          <w:lang w:val="en-US" w:eastAsia="zh-CN"/>
        </w:rPr>
        <w:t>2</w:t>
      </w:r>
    </w:p>
    <w:p w14:paraId="7C5CE73A">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2" w:firstLineChars="200"/>
        <w:jc w:val="both"/>
        <w:textAlignment w:val="auto"/>
        <w:rPr>
          <w:rFonts w:hint="default" w:ascii="Times New Roman" w:hAnsi="Times New Roman" w:eastAsia="宋体"/>
          <w:b/>
          <w:bCs/>
          <w:sz w:val="24"/>
          <w:lang w:val="en-US" w:eastAsia="zh-CN"/>
        </w:rPr>
      </w:pPr>
      <w:r>
        <w:rPr>
          <w:rFonts w:hint="eastAsia" w:ascii="Times New Roman" w:hAnsi="Times New Roman" w:eastAsia="宋体"/>
          <w:b/>
          <w:bCs/>
          <w:sz w:val="24"/>
          <w:lang w:val="en-US" w:eastAsia="zh-CN"/>
        </w:rPr>
        <w:t>2、项目建设内容</w:t>
      </w:r>
    </w:p>
    <w:p w14:paraId="5134CA97">
      <w:pPr>
        <w:adjustRightInd w:val="0"/>
        <w:snapToGrid w:val="0"/>
        <w:spacing w:line="360" w:lineRule="auto"/>
        <w:ind w:firstLine="480" w:firstLineChars="200"/>
        <w:jc w:val="left"/>
        <w:rPr>
          <w:rFonts w:hint="default" w:ascii="Times New Roman" w:hAnsi="Times New Roman" w:cs="Times New Roman"/>
          <w:color w:val="auto"/>
          <w:kern w:val="0"/>
          <w:sz w:val="24"/>
        </w:rPr>
      </w:pPr>
      <w:r>
        <w:rPr>
          <w:rFonts w:hint="default" w:ascii="Times New Roman" w:hAnsi="Times New Roman" w:cs="Times New Roman"/>
          <w:color w:val="auto"/>
          <w:kern w:val="0"/>
          <w:sz w:val="24"/>
          <w:lang w:eastAsia="zh-CN"/>
        </w:rPr>
        <w:t>项目租赁厂房</w:t>
      </w:r>
      <w:r>
        <w:rPr>
          <w:rFonts w:hint="default" w:ascii="Times New Roman" w:hAnsi="Times New Roman" w:cs="Times New Roman"/>
          <w:color w:val="auto"/>
          <w:kern w:val="0"/>
          <w:sz w:val="24"/>
          <w:lang w:val="en-US" w:eastAsia="zh-CN"/>
        </w:rPr>
        <w:t>1513平方米，主要购置设备叉车上下货物；购置废气处理系统净化仓储贮存货物排出的气体，达标后经管道高空排出。厂房按GB18597-2023危险废物贮存污染控制标准、环评、安评、消防等要求改建，项目建成投产后，预计危废年最大收集规模5000吨，仓储单次最大贮存量为150吨</w:t>
      </w:r>
      <w:r>
        <w:rPr>
          <w:rFonts w:hint="default" w:ascii="Times New Roman" w:hAnsi="Times New Roman" w:cs="Times New Roman"/>
          <w:color w:val="auto"/>
          <w:kern w:val="0"/>
          <w:sz w:val="24"/>
        </w:rPr>
        <w:t>。</w:t>
      </w:r>
    </w:p>
    <w:p w14:paraId="7B28016F">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jc w:val="both"/>
        <w:textAlignment w:val="auto"/>
        <w:rPr>
          <w:rFonts w:hint="eastAsia" w:ascii="Times New Roman" w:hAnsi="Times New Roman" w:eastAsia="宋体"/>
          <w:b/>
          <w:bCs/>
          <w:sz w:val="24"/>
          <w:lang w:val="en-US" w:eastAsia="zh-CN"/>
        </w:rPr>
      </w:pPr>
      <w:r>
        <w:rPr>
          <w:rFonts w:hint="eastAsia" w:ascii="Times New Roman" w:hAnsi="Times New Roman" w:eastAsia="宋体"/>
          <w:b/>
          <w:bCs/>
          <w:sz w:val="24"/>
          <w:lang w:val="en-US" w:eastAsia="zh-CN"/>
        </w:rPr>
        <w:t>三、环保设施建设基本情况</w:t>
      </w:r>
    </w:p>
    <w:p w14:paraId="709CE5B4">
      <w:pPr>
        <w:numPr>
          <w:numId w:val="0"/>
        </w:numPr>
        <w:bidi w:val="0"/>
        <w:rPr>
          <w:rFonts w:hint="eastAsia"/>
          <w:lang w:val="en-US" w:eastAsia="zh-CN"/>
        </w:rPr>
      </w:pPr>
    </w:p>
    <w:p w14:paraId="381A1C1A">
      <w:pPr>
        <w:adjustRightInd w:val="0"/>
        <w:snapToGrid w:val="0"/>
        <w:spacing w:line="360" w:lineRule="auto"/>
        <w:ind w:firstLine="480" w:firstLineChars="200"/>
        <w:jc w:val="left"/>
        <w:rPr>
          <w:rFonts w:hint="default" w:ascii="Times New Roman" w:hAnsi="Times New Roman" w:cs="Times New Roman"/>
          <w:color w:val="auto"/>
          <w:kern w:val="0"/>
          <w:sz w:val="24"/>
          <w:lang w:eastAsia="zh-CN"/>
        </w:rPr>
      </w:pPr>
      <w:r>
        <w:rPr>
          <w:rFonts w:hint="default" w:ascii="Times New Roman" w:hAnsi="Times New Roman" w:cs="Times New Roman"/>
          <w:color w:val="auto"/>
          <w:kern w:val="0"/>
          <w:sz w:val="24"/>
          <w:lang w:eastAsia="zh-CN"/>
        </w:rPr>
        <w:t>本项目生产过程会产生废气、废水、固废等污染物，为避免对周围环境造成影响，环保设施建设实施后，废水、废气、噪声治理方案切实可行，能够保证达标排放， 固废处置方案可行，全部达到有效、安全处置。本项目环保投资预计其费用总和为</w:t>
      </w:r>
      <w:r>
        <w:rPr>
          <w:rFonts w:hint="eastAsia" w:ascii="Times New Roman" w:hAnsi="Times New Roman" w:cs="Times New Roman"/>
          <w:color w:val="auto"/>
          <w:kern w:val="0"/>
          <w:sz w:val="24"/>
          <w:lang w:val="en-US" w:eastAsia="zh-CN"/>
        </w:rPr>
        <w:t>180</w:t>
      </w:r>
      <w:r>
        <w:rPr>
          <w:rFonts w:hint="default" w:ascii="Times New Roman" w:hAnsi="Times New Roman" w:cs="Times New Roman"/>
          <w:color w:val="auto"/>
          <w:kern w:val="0"/>
          <w:sz w:val="24"/>
          <w:lang w:eastAsia="zh-CN"/>
        </w:rPr>
        <w:t>万元。</w:t>
      </w:r>
    </w:p>
    <w:p w14:paraId="1D4D2360">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2" w:firstLineChars="200"/>
        <w:jc w:val="both"/>
        <w:textAlignment w:val="auto"/>
        <w:rPr>
          <w:rFonts w:hint="default" w:ascii="Times New Roman" w:hAnsi="Times New Roman" w:eastAsia="宋体"/>
          <w:b/>
          <w:bCs/>
          <w:sz w:val="24"/>
          <w:lang w:val="en-US" w:eastAsia="zh-CN"/>
        </w:rPr>
      </w:pPr>
      <w:r>
        <w:rPr>
          <w:rFonts w:hint="eastAsia" w:ascii="Times New Roman" w:hAnsi="Times New Roman" w:eastAsia="宋体"/>
          <w:b/>
          <w:bCs/>
          <w:sz w:val="24"/>
          <w:lang w:val="en-US" w:eastAsia="zh-CN"/>
        </w:rPr>
        <w:t>1、大气污染防治措施</w:t>
      </w:r>
    </w:p>
    <w:p w14:paraId="188E8AE6">
      <w:pPr>
        <w:adjustRightInd w:val="0"/>
        <w:snapToGrid w:val="0"/>
        <w:spacing w:line="360" w:lineRule="auto"/>
        <w:ind w:firstLine="480" w:firstLineChars="200"/>
        <w:jc w:val="left"/>
        <w:rPr>
          <w:rFonts w:hint="eastAsia" w:ascii="Times New Roman" w:hAnsi="Times New Roman" w:cs="Times New Roman"/>
          <w:color w:val="auto"/>
          <w:kern w:val="0"/>
          <w:sz w:val="24"/>
          <w:lang w:eastAsia="zh-CN"/>
        </w:rPr>
      </w:pPr>
      <w:r>
        <w:rPr>
          <w:rFonts w:hint="eastAsia" w:ascii="Times New Roman" w:hAnsi="Times New Roman" w:cs="Times New Roman"/>
          <w:color w:val="auto"/>
          <w:kern w:val="0"/>
          <w:sz w:val="24"/>
          <w:lang w:eastAsia="zh-CN"/>
        </w:rPr>
        <w:t>密闭库</w:t>
      </w:r>
      <w:r>
        <w:rPr>
          <w:rFonts w:hint="eastAsia" w:ascii="Times New Roman" w:hAnsi="Times New Roman" w:cs="Times New Roman"/>
          <w:color w:val="auto"/>
          <w:kern w:val="0"/>
          <w:sz w:val="24"/>
          <w:lang w:val="en-US" w:eastAsia="zh-CN"/>
        </w:rPr>
        <w:t>1</w:t>
      </w:r>
      <w:r>
        <w:rPr>
          <w:rFonts w:hint="eastAsia" w:ascii="Times New Roman" w:hAnsi="Times New Roman" w:cs="Times New Roman"/>
          <w:color w:val="auto"/>
          <w:kern w:val="0"/>
          <w:sz w:val="24"/>
          <w:lang w:eastAsia="zh-CN"/>
        </w:rPr>
        <w:t>废气经抽风口收集后送废气处理系统（</w:t>
      </w:r>
      <w:r>
        <w:rPr>
          <w:rFonts w:hint="eastAsia" w:ascii="Times New Roman" w:hAnsi="Times New Roman" w:cs="Times New Roman"/>
          <w:color w:val="auto"/>
          <w:kern w:val="0"/>
          <w:sz w:val="24"/>
          <w:lang w:val="en-US" w:eastAsia="zh-CN"/>
        </w:rPr>
        <w:t>TA001</w:t>
      </w:r>
      <w:r>
        <w:rPr>
          <w:rFonts w:hint="eastAsia" w:ascii="Times New Roman" w:hAnsi="Times New Roman" w:cs="Times New Roman"/>
          <w:color w:val="auto"/>
          <w:kern w:val="0"/>
          <w:sz w:val="24"/>
          <w:lang w:eastAsia="zh-CN"/>
        </w:rPr>
        <w:t>）经碱喷淋</w:t>
      </w:r>
      <w:r>
        <w:rPr>
          <w:rFonts w:hint="eastAsia" w:ascii="Times New Roman" w:hAnsi="Times New Roman" w:cs="Times New Roman"/>
          <w:color w:val="auto"/>
          <w:kern w:val="0"/>
          <w:sz w:val="24"/>
          <w:lang w:val="en-US" w:eastAsia="zh-CN"/>
        </w:rPr>
        <w:t>+水喷淋+除雾+</w:t>
      </w:r>
      <w:r>
        <w:rPr>
          <w:rFonts w:hint="eastAsia" w:ascii="Times New Roman" w:hAnsi="Times New Roman" w:cs="Times New Roman"/>
          <w:color w:val="auto"/>
          <w:kern w:val="0"/>
          <w:sz w:val="24"/>
          <w:lang w:eastAsia="zh-CN"/>
        </w:rPr>
        <w:t>二级活性炭吸附处理后由15m高排气筒</w:t>
      </w:r>
      <w:r>
        <w:rPr>
          <w:rFonts w:hint="eastAsia" w:ascii="Times New Roman" w:hAnsi="Times New Roman" w:cs="Times New Roman"/>
          <w:color w:val="auto"/>
          <w:kern w:val="0"/>
          <w:sz w:val="24"/>
          <w:lang w:val="en-US" w:eastAsia="zh-CN"/>
        </w:rPr>
        <w:t>DA001有组织</w:t>
      </w:r>
      <w:r>
        <w:rPr>
          <w:rFonts w:hint="eastAsia" w:ascii="Times New Roman" w:hAnsi="Times New Roman" w:cs="Times New Roman"/>
          <w:color w:val="auto"/>
          <w:kern w:val="0"/>
          <w:sz w:val="24"/>
          <w:lang w:eastAsia="zh-CN"/>
        </w:rPr>
        <w:t>排放，</w:t>
      </w:r>
      <w:r>
        <w:rPr>
          <w:rFonts w:hint="default" w:ascii="Times New Roman" w:hAnsi="Times New Roman" w:cs="Times New Roman"/>
          <w:color w:val="auto"/>
          <w:kern w:val="0"/>
          <w:sz w:val="24"/>
          <w:lang w:eastAsia="zh-CN"/>
        </w:rPr>
        <w:t>处理风量</w:t>
      </w:r>
      <w:r>
        <w:rPr>
          <w:rFonts w:hint="eastAsia" w:ascii="Times New Roman" w:hAnsi="Times New Roman" w:cs="Times New Roman"/>
          <w:color w:val="auto"/>
          <w:kern w:val="0"/>
          <w:sz w:val="24"/>
          <w:lang w:val="en-US" w:eastAsia="zh-CN"/>
        </w:rPr>
        <w:t>11000</w:t>
      </w:r>
      <w:r>
        <w:rPr>
          <w:rFonts w:hint="eastAsia" w:ascii="Times New Roman" w:hAnsi="Times New Roman" w:cs="Times New Roman"/>
          <w:color w:val="auto"/>
          <w:kern w:val="0"/>
          <w:sz w:val="24"/>
          <w:lang w:eastAsia="zh-CN"/>
        </w:rPr>
        <w:t>m</w:t>
      </w:r>
      <w:r>
        <w:rPr>
          <w:rFonts w:hint="eastAsia" w:ascii="Times New Roman" w:hAnsi="Times New Roman" w:cs="Times New Roman"/>
          <w:color w:val="auto"/>
          <w:kern w:val="0"/>
          <w:sz w:val="24"/>
          <w:vertAlign w:val="superscript"/>
          <w:lang w:eastAsia="zh-CN"/>
        </w:rPr>
        <w:t>3</w:t>
      </w:r>
      <w:r>
        <w:rPr>
          <w:rFonts w:hint="eastAsia" w:ascii="Times New Roman" w:hAnsi="Times New Roman" w:cs="Times New Roman"/>
          <w:color w:val="auto"/>
          <w:kern w:val="0"/>
          <w:sz w:val="24"/>
          <w:lang w:eastAsia="zh-CN"/>
        </w:rPr>
        <w:t>/h，密闭库</w:t>
      </w:r>
      <w:r>
        <w:rPr>
          <w:rFonts w:hint="eastAsia" w:ascii="Times New Roman" w:hAnsi="Times New Roman" w:cs="Times New Roman"/>
          <w:color w:val="auto"/>
          <w:kern w:val="0"/>
          <w:sz w:val="24"/>
          <w:lang w:val="en-US" w:eastAsia="zh-CN"/>
        </w:rPr>
        <w:t>2</w:t>
      </w:r>
      <w:r>
        <w:rPr>
          <w:rFonts w:hint="eastAsia" w:ascii="Times New Roman" w:hAnsi="Times New Roman" w:cs="Times New Roman"/>
          <w:color w:val="auto"/>
          <w:kern w:val="0"/>
          <w:sz w:val="24"/>
          <w:lang w:eastAsia="zh-CN"/>
        </w:rPr>
        <w:t>含废气经抽风口收集后送废气处理系统（</w:t>
      </w:r>
      <w:r>
        <w:rPr>
          <w:rFonts w:hint="eastAsia" w:ascii="Times New Roman" w:hAnsi="Times New Roman" w:cs="Times New Roman"/>
          <w:color w:val="auto"/>
          <w:kern w:val="0"/>
          <w:sz w:val="24"/>
          <w:lang w:val="en-US" w:eastAsia="zh-CN"/>
        </w:rPr>
        <w:t>TA002）</w:t>
      </w:r>
      <w:r>
        <w:rPr>
          <w:rFonts w:hint="eastAsia" w:ascii="Times New Roman" w:hAnsi="Times New Roman" w:cs="Times New Roman"/>
          <w:color w:val="auto"/>
          <w:kern w:val="0"/>
          <w:sz w:val="24"/>
          <w:lang w:eastAsia="zh-CN"/>
        </w:rPr>
        <w:t>经碱喷淋</w:t>
      </w:r>
      <w:r>
        <w:rPr>
          <w:rFonts w:hint="eastAsia" w:ascii="Times New Roman" w:hAnsi="Times New Roman" w:cs="Times New Roman"/>
          <w:color w:val="auto"/>
          <w:kern w:val="0"/>
          <w:sz w:val="24"/>
          <w:lang w:val="en-US" w:eastAsia="zh-CN"/>
        </w:rPr>
        <w:t>+水喷淋+除雾+</w:t>
      </w:r>
      <w:r>
        <w:rPr>
          <w:rFonts w:hint="eastAsia" w:ascii="Times New Roman" w:hAnsi="Times New Roman" w:cs="Times New Roman"/>
          <w:color w:val="auto"/>
          <w:kern w:val="0"/>
          <w:sz w:val="24"/>
          <w:lang w:eastAsia="zh-CN"/>
        </w:rPr>
        <w:t>二级活性炭吸附处理后由15m高排气筒</w:t>
      </w:r>
      <w:r>
        <w:rPr>
          <w:rFonts w:hint="eastAsia" w:ascii="Times New Roman" w:hAnsi="Times New Roman" w:cs="Times New Roman"/>
          <w:color w:val="auto"/>
          <w:kern w:val="0"/>
          <w:sz w:val="24"/>
          <w:lang w:val="en-US" w:eastAsia="zh-CN"/>
        </w:rPr>
        <w:t>DA001有组织</w:t>
      </w:r>
      <w:r>
        <w:rPr>
          <w:rFonts w:hint="eastAsia" w:ascii="Times New Roman" w:hAnsi="Times New Roman" w:cs="Times New Roman"/>
          <w:color w:val="auto"/>
          <w:kern w:val="0"/>
          <w:sz w:val="24"/>
          <w:lang w:eastAsia="zh-CN"/>
        </w:rPr>
        <w:t>排放，</w:t>
      </w:r>
      <w:r>
        <w:rPr>
          <w:rFonts w:hint="default" w:ascii="Times New Roman" w:hAnsi="Times New Roman" w:cs="Times New Roman"/>
          <w:color w:val="auto"/>
          <w:kern w:val="0"/>
          <w:sz w:val="24"/>
          <w:lang w:eastAsia="zh-CN"/>
        </w:rPr>
        <w:t>处理风量</w:t>
      </w:r>
      <w:r>
        <w:rPr>
          <w:rFonts w:hint="eastAsia" w:ascii="Times New Roman" w:hAnsi="Times New Roman" w:cs="Times New Roman"/>
          <w:color w:val="auto"/>
          <w:kern w:val="0"/>
          <w:sz w:val="24"/>
          <w:lang w:val="en-US" w:eastAsia="zh-CN"/>
        </w:rPr>
        <w:t>4000</w:t>
      </w:r>
      <w:r>
        <w:rPr>
          <w:rFonts w:hint="eastAsia" w:ascii="Times New Roman" w:hAnsi="Times New Roman" w:cs="Times New Roman"/>
          <w:color w:val="auto"/>
          <w:kern w:val="0"/>
          <w:sz w:val="24"/>
          <w:lang w:eastAsia="zh-CN"/>
        </w:rPr>
        <w:t>m</w:t>
      </w:r>
      <w:r>
        <w:rPr>
          <w:rFonts w:hint="eastAsia" w:ascii="Times New Roman" w:hAnsi="Times New Roman" w:cs="Times New Roman"/>
          <w:color w:val="auto"/>
          <w:kern w:val="0"/>
          <w:sz w:val="24"/>
          <w:vertAlign w:val="superscript"/>
          <w:lang w:eastAsia="zh-CN"/>
        </w:rPr>
        <w:t>3</w:t>
      </w:r>
      <w:r>
        <w:rPr>
          <w:rFonts w:hint="eastAsia" w:ascii="Times New Roman" w:hAnsi="Times New Roman" w:cs="Times New Roman"/>
          <w:color w:val="auto"/>
          <w:kern w:val="0"/>
          <w:sz w:val="24"/>
          <w:lang w:eastAsia="zh-CN"/>
        </w:rPr>
        <w:t>/h。</w:t>
      </w:r>
    </w:p>
    <w:p w14:paraId="11C50A92">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2" w:firstLineChars="200"/>
        <w:jc w:val="both"/>
        <w:textAlignment w:val="auto"/>
        <w:rPr>
          <w:rFonts w:hint="default" w:ascii="Times New Roman" w:hAnsi="Times New Roman" w:eastAsia="宋体"/>
          <w:b/>
          <w:bCs/>
          <w:sz w:val="24"/>
          <w:lang w:val="en-US" w:eastAsia="zh-CN"/>
        </w:rPr>
      </w:pPr>
      <w:r>
        <w:rPr>
          <w:rFonts w:hint="eastAsia" w:ascii="Times New Roman" w:hAnsi="Times New Roman" w:eastAsia="宋体"/>
          <w:b/>
          <w:bCs/>
          <w:sz w:val="24"/>
          <w:lang w:val="en-US" w:eastAsia="zh-CN"/>
        </w:rPr>
        <w:t>2、水污染防治措施</w:t>
      </w:r>
    </w:p>
    <w:p w14:paraId="447DAAEA">
      <w:pPr>
        <w:adjustRightInd w:val="0"/>
        <w:snapToGrid w:val="0"/>
        <w:spacing w:line="360" w:lineRule="auto"/>
        <w:ind w:firstLine="480" w:firstLineChars="200"/>
        <w:jc w:val="left"/>
        <w:rPr>
          <w:rFonts w:hint="eastAsia" w:ascii="Times New Roman" w:hAnsi="Times New Roman" w:cs="Times New Roman"/>
          <w:color w:val="auto"/>
          <w:kern w:val="0"/>
          <w:sz w:val="24"/>
          <w:lang w:eastAsia="zh-CN"/>
        </w:rPr>
      </w:pPr>
      <w:r>
        <w:rPr>
          <w:rFonts w:hint="eastAsia" w:ascii="Times New Roman" w:hAnsi="Times New Roman" w:cs="Times New Roman"/>
          <w:color w:val="auto"/>
          <w:kern w:val="0"/>
          <w:sz w:val="24"/>
          <w:lang w:eastAsia="zh-CN"/>
        </w:rPr>
        <w:t>本项目运营过程中产生的喷淋废水、实验废液收集后作危废，因此本项目废水主要为员工生活污水，</w:t>
      </w:r>
      <w:r>
        <w:rPr>
          <w:rFonts w:hint="eastAsia" w:ascii="Times New Roman" w:hAnsi="Times New Roman" w:cs="Times New Roman"/>
          <w:color w:val="auto"/>
          <w:kern w:val="0"/>
          <w:sz w:val="24"/>
          <w:lang w:val="en-US" w:eastAsia="zh-CN"/>
        </w:rPr>
        <w:t>日常管理和地面清洁使用拖把和抹布进行清扫，产生的拖把等劳保用品作为危险废物，委托资质单位处置</w:t>
      </w:r>
      <w:r>
        <w:rPr>
          <w:rFonts w:hint="eastAsia" w:ascii="Times New Roman" w:hAnsi="Times New Roman" w:cs="Times New Roman"/>
          <w:color w:val="auto"/>
          <w:kern w:val="0"/>
          <w:sz w:val="24"/>
          <w:lang w:eastAsia="zh-CN"/>
        </w:rPr>
        <w:t>。</w:t>
      </w:r>
      <w:r>
        <w:rPr>
          <w:rFonts w:hint="eastAsia" w:ascii="Times New Roman" w:hAnsi="Times New Roman" w:cs="Times New Roman"/>
          <w:color w:val="auto"/>
          <w:kern w:val="0"/>
          <w:sz w:val="24"/>
          <w:lang w:val="en-US" w:eastAsia="zh-CN"/>
        </w:rPr>
        <w:t>生活污水依托江苏新晨电气有限公司生活污水处理系统</w:t>
      </w:r>
      <w:r>
        <w:rPr>
          <w:rFonts w:hint="eastAsia" w:ascii="Times New Roman" w:hAnsi="Times New Roman" w:cs="Times New Roman"/>
          <w:color w:val="auto"/>
          <w:kern w:val="0"/>
          <w:sz w:val="24"/>
          <w:lang w:eastAsia="zh-CN"/>
        </w:rPr>
        <w:t>。</w:t>
      </w:r>
    </w:p>
    <w:p w14:paraId="4A3B8C94">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2" w:firstLineChars="200"/>
        <w:jc w:val="both"/>
        <w:textAlignment w:val="auto"/>
        <w:rPr>
          <w:rFonts w:hint="default" w:ascii="Times New Roman" w:hAnsi="Times New Roman" w:eastAsia="宋体"/>
          <w:b/>
          <w:bCs/>
          <w:sz w:val="24"/>
          <w:lang w:val="en-US" w:eastAsia="zh-CN"/>
        </w:rPr>
      </w:pPr>
      <w:r>
        <w:rPr>
          <w:rFonts w:hint="eastAsia" w:ascii="Times New Roman" w:hAnsi="Times New Roman" w:eastAsia="宋体"/>
          <w:b/>
          <w:bCs/>
          <w:sz w:val="24"/>
          <w:lang w:val="en-US" w:eastAsia="zh-CN"/>
        </w:rPr>
        <w:t>3、噪声污染防治措施</w:t>
      </w:r>
    </w:p>
    <w:p w14:paraId="27E13E80">
      <w:pPr>
        <w:adjustRightInd w:val="0"/>
        <w:snapToGrid w:val="0"/>
        <w:spacing w:line="360" w:lineRule="auto"/>
        <w:ind w:firstLine="480" w:firstLineChars="200"/>
        <w:jc w:val="left"/>
        <w:rPr>
          <w:rFonts w:hint="eastAsia" w:ascii="Times New Roman" w:hAnsi="Times New Roman" w:cs="Times New Roman"/>
          <w:color w:val="auto"/>
          <w:kern w:val="0"/>
          <w:sz w:val="24"/>
          <w:lang w:eastAsia="zh-CN"/>
        </w:rPr>
      </w:pPr>
      <w:r>
        <w:rPr>
          <w:rFonts w:hint="eastAsia" w:ascii="Times New Roman" w:hAnsi="Times New Roman" w:cs="Times New Roman"/>
          <w:color w:val="auto"/>
          <w:kern w:val="0"/>
          <w:sz w:val="24"/>
          <w:lang w:eastAsia="zh-CN"/>
        </w:rPr>
        <w:t>噪声在室外空间的传播，由于受到遮挡物的隔断，各种介质的吸收与反射，以及空气介质的吸收等物理作用而逐渐减弱。建设方拟采用如下措施进行隔声降噪：</w:t>
      </w:r>
    </w:p>
    <w:p w14:paraId="10A3F207">
      <w:pPr>
        <w:adjustRightInd w:val="0"/>
        <w:snapToGrid w:val="0"/>
        <w:spacing w:line="360" w:lineRule="auto"/>
        <w:ind w:firstLine="480" w:firstLineChars="200"/>
        <w:jc w:val="left"/>
        <w:rPr>
          <w:rFonts w:hint="eastAsia" w:ascii="Times New Roman" w:hAnsi="Times New Roman" w:cs="Times New Roman"/>
          <w:color w:val="auto"/>
          <w:kern w:val="0"/>
          <w:sz w:val="24"/>
          <w:lang w:eastAsia="zh-CN"/>
        </w:rPr>
      </w:pPr>
      <w:r>
        <w:rPr>
          <w:rFonts w:hint="eastAsia" w:ascii="Times New Roman" w:hAnsi="Times New Roman" w:cs="Times New Roman"/>
          <w:color w:val="auto"/>
          <w:kern w:val="0"/>
          <w:sz w:val="24"/>
          <w:lang w:eastAsia="zh-CN"/>
        </w:rPr>
        <w:t>①设备选型时尽可量选取低噪声设备；</w:t>
      </w:r>
    </w:p>
    <w:p w14:paraId="20FAA255">
      <w:pPr>
        <w:adjustRightInd w:val="0"/>
        <w:snapToGrid w:val="0"/>
        <w:spacing w:line="360" w:lineRule="auto"/>
        <w:ind w:firstLine="480" w:firstLineChars="200"/>
        <w:jc w:val="left"/>
        <w:rPr>
          <w:rFonts w:hint="eastAsia" w:ascii="Times New Roman" w:hAnsi="Times New Roman" w:cs="Times New Roman"/>
          <w:color w:val="auto"/>
          <w:kern w:val="0"/>
          <w:sz w:val="24"/>
          <w:lang w:eastAsia="zh-CN"/>
        </w:rPr>
      </w:pPr>
      <w:r>
        <w:rPr>
          <w:rFonts w:hint="eastAsia" w:ascii="Times New Roman" w:hAnsi="Times New Roman" w:cs="Times New Roman"/>
          <w:color w:val="auto"/>
          <w:kern w:val="0"/>
          <w:sz w:val="24"/>
          <w:lang w:eastAsia="zh-CN"/>
        </w:rPr>
        <w:t>②各噪声设备应铺设橡胶垫减震或加强设备固定；</w:t>
      </w:r>
    </w:p>
    <w:p w14:paraId="10ECDF86">
      <w:pPr>
        <w:adjustRightInd w:val="0"/>
        <w:snapToGrid w:val="0"/>
        <w:spacing w:line="360" w:lineRule="auto"/>
        <w:ind w:firstLine="480" w:firstLineChars="200"/>
        <w:jc w:val="left"/>
        <w:rPr>
          <w:rFonts w:hint="eastAsia" w:ascii="Times New Roman" w:hAnsi="Times New Roman" w:cs="Times New Roman"/>
          <w:color w:val="auto"/>
          <w:kern w:val="0"/>
          <w:sz w:val="24"/>
          <w:lang w:eastAsia="zh-CN"/>
        </w:rPr>
      </w:pPr>
      <w:r>
        <w:rPr>
          <w:rFonts w:hint="eastAsia" w:ascii="Times New Roman" w:hAnsi="Times New Roman" w:cs="Times New Roman"/>
          <w:color w:val="auto"/>
          <w:kern w:val="0"/>
          <w:sz w:val="24"/>
          <w:lang w:eastAsia="zh-CN"/>
        </w:rPr>
        <w:t>③合理安排营运时间，加强内部管理，强化员工教育，提升员工素质；</w:t>
      </w:r>
    </w:p>
    <w:p w14:paraId="4B59EE4A">
      <w:pPr>
        <w:adjustRightInd w:val="0"/>
        <w:snapToGrid w:val="0"/>
        <w:spacing w:line="360" w:lineRule="auto"/>
        <w:ind w:firstLine="480" w:firstLineChars="200"/>
        <w:jc w:val="left"/>
        <w:rPr>
          <w:rFonts w:hint="eastAsia" w:ascii="Times New Roman" w:hAnsi="Times New Roman" w:cs="Times New Roman"/>
          <w:color w:val="auto"/>
          <w:kern w:val="0"/>
          <w:sz w:val="24"/>
          <w:lang w:eastAsia="zh-CN"/>
        </w:rPr>
      </w:pPr>
      <w:r>
        <w:rPr>
          <w:rFonts w:hint="eastAsia" w:ascii="Times New Roman" w:hAnsi="Times New Roman" w:cs="Times New Roman"/>
          <w:color w:val="auto"/>
          <w:kern w:val="0"/>
          <w:sz w:val="24"/>
          <w:lang w:eastAsia="zh-CN"/>
        </w:rPr>
        <w:t>④建立设备定期维护、保养的管理制度，以防止设备故障形成的非正常生产噪声，同时确保环保措施发挥最有效的功能。</w:t>
      </w:r>
    </w:p>
    <w:p w14:paraId="14C4A650">
      <w:pPr>
        <w:adjustRightInd w:val="0"/>
        <w:snapToGrid w:val="0"/>
        <w:spacing w:line="360" w:lineRule="auto"/>
        <w:ind w:firstLine="480" w:firstLineChars="200"/>
        <w:jc w:val="left"/>
        <w:rPr>
          <w:rFonts w:hint="eastAsia" w:ascii="Times New Roman" w:hAnsi="Times New Roman" w:cs="Times New Roman"/>
          <w:color w:val="auto"/>
          <w:kern w:val="0"/>
          <w:sz w:val="24"/>
          <w:lang w:eastAsia="zh-CN"/>
        </w:rPr>
      </w:pPr>
      <w:r>
        <w:rPr>
          <w:rFonts w:hint="eastAsia" w:ascii="Times New Roman" w:hAnsi="Times New Roman" w:cs="Times New Roman"/>
          <w:color w:val="auto"/>
          <w:kern w:val="0"/>
          <w:sz w:val="24"/>
          <w:lang w:eastAsia="zh-CN"/>
        </w:rPr>
        <w:t>项目内高噪声设备经合理布局、隔声及距离衰减后，厂界昼、夜间噪声预测值能够达到《工业企业厂界环境噪声排放标准》(GB12348-2008)中3类标准要求。</w:t>
      </w:r>
    </w:p>
    <w:p w14:paraId="13A1C134">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2" w:firstLineChars="200"/>
        <w:jc w:val="both"/>
        <w:textAlignment w:val="auto"/>
        <w:rPr>
          <w:rFonts w:hint="default" w:ascii="Times New Roman" w:hAnsi="Times New Roman" w:eastAsia="宋体"/>
          <w:b/>
          <w:bCs/>
          <w:sz w:val="24"/>
          <w:lang w:val="en-US" w:eastAsia="zh-CN"/>
        </w:rPr>
      </w:pPr>
      <w:r>
        <w:rPr>
          <w:rFonts w:hint="eastAsia" w:ascii="Times New Roman" w:hAnsi="Times New Roman" w:eastAsia="宋体"/>
          <w:b/>
          <w:bCs/>
          <w:sz w:val="24"/>
          <w:lang w:val="en-US" w:eastAsia="zh-CN"/>
        </w:rPr>
        <w:t>4、固废污染防治措施</w:t>
      </w:r>
    </w:p>
    <w:p w14:paraId="2A20218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本项目建成后，产生的固体废物为职工生活垃圾、废液、废吸附棉、废防护服、废活性炭、喷淋废液</w:t>
      </w:r>
      <w:r>
        <w:rPr>
          <w:rFonts w:hint="default" w:ascii="Times New Roman" w:hAnsi="Times New Roman" w:cs="Times New Roman"/>
          <w:color w:val="auto"/>
          <w:sz w:val="24"/>
          <w:lang w:eastAsia="zh-CN"/>
        </w:rPr>
        <w:t>、实验废液、沉淀池沉渣、废电解液、废</w:t>
      </w:r>
      <w:r>
        <w:rPr>
          <w:rFonts w:hint="default" w:ascii="Times New Roman" w:hAnsi="Times New Roman" w:cs="Times New Roman"/>
          <w:color w:val="auto"/>
          <w:sz w:val="24"/>
          <w:lang w:val="en-US" w:eastAsia="zh-CN"/>
        </w:rPr>
        <w:t>PE耐酸耐腐蚀暂存</w:t>
      </w:r>
      <w:r>
        <w:rPr>
          <w:rFonts w:hint="default" w:ascii="Times New Roman" w:hAnsi="Times New Roman" w:cs="Times New Roman"/>
          <w:color w:val="auto"/>
          <w:sz w:val="24"/>
          <w:lang w:eastAsia="zh-CN"/>
        </w:rPr>
        <w:t>桶、废</w:t>
      </w:r>
      <w:r>
        <w:rPr>
          <w:rFonts w:hint="default" w:ascii="Times New Roman" w:hAnsi="Times New Roman" w:cs="Times New Roman"/>
          <w:color w:val="auto"/>
          <w:sz w:val="24"/>
          <w:lang w:val="en-US" w:eastAsia="zh-CN"/>
        </w:rPr>
        <w:t>PE耐酸耐腐蚀暂存</w:t>
      </w:r>
      <w:r>
        <w:rPr>
          <w:rFonts w:hint="default" w:ascii="Times New Roman" w:hAnsi="Times New Roman" w:cs="Times New Roman"/>
          <w:color w:val="auto"/>
          <w:sz w:val="24"/>
          <w:lang w:eastAsia="zh-CN"/>
        </w:rPr>
        <w:t>箱、废填料、废液压油</w:t>
      </w:r>
      <w:r>
        <w:rPr>
          <w:rFonts w:hint="default" w:ascii="Times New Roman" w:hAnsi="Times New Roman" w:cs="Times New Roman"/>
          <w:color w:val="auto"/>
          <w:sz w:val="24"/>
        </w:rPr>
        <w:t>。</w:t>
      </w:r>
    </w:p>
    <w:p w14:paraId="5077ED0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auto"/>
          <w:kern w:val="0"/>
          <w:sz w:val="24"/>
          <w:lang w:eastAsia="zh-CN"/>
        </w:rPr>
      </w:pPr>
      <w:r>
        <w:rPr>
          <w:rFonts w:hint="default" w:ascii="Times New Roman" w:hAnsi="Times New Roman" w:cs="Times New Roman"/>
          <w:color w:val="auto"/>
          <w:kern w:val="0"/>
          <w:sz w:val="24"/>
          <w:lang w:eastAsia="zh-CN"/>
        </w:rPr>
        <w:t>生产固废主要为</w:t>
      </w:r>
      <w:r>
        <w:rPr>
          <w:rFonts w:hint="default" w:ascii="Times New Roman" w:hAnsi="Times New Roman" w:cs="Times New Roman"/>
          <w:color w:val="auto"/>
          <w:sz w:val="24"/>
        </w:rPr>
        <w:t>废液、废吸附棉、废防护服、废活性炭、喷淋废液</w:t>
      </w:r>
      <w:r>
        <w:rPr>
          <w:rFonts w:hint="default" w:ascii="Times New Roman" w:hAnsi="Times New Roman" w:cs="Times New Roman"/>
          <w:color w:val="auto"/>
          <w:sz w:val="24"/>
          <w:lang w:eastAsia="zh-CN"/>
        </w:rPr>
        <w:t>、实验废液、沉淀池沉渣、废电解液、废</w:t>
      </w:r>
      <w:r>
        <w:rPr>
          <w:rFonts w:hint="default" w:ascii="Times New Roman" w:hAnsi="Times New Roman" w:cs="Times New Roman"/>
          <w:color w:val="auto"/>
          <w:sz w:val="24"/>
          <w:lang w:val="en-US" w:eastAsia="zh-CN"/>
        </w:rPr>
        <w:t>PE耐酸耐腐蚀暂存</w:t>
      </w:r>
      <w:r>
        <w:rPr>
          <w:rFonts w:hint="default" w:ascii="Times New Roman" w:hAnsi="Times New Roman" w:cs="Times New Roman"/>
          <w:color w:val="auto"/>
          <w:sz w:val="24"/>
          <w:lang w:eastAsia="zh-CN"/>
        </w:rPr>
        <w:t>桶、废</w:t>
      </w:r>
      <w:r>
        <w:rPr>
          <w:rFonts w:hint="default" w:ascii="Times New Roman" w:hAnsi="Times New Roman" w:cs="Times New Roman"/>
          <w:color w:val="auto"/>
          <w:sz w:val="24"/>
          <w:lang w:val="en-US" w:eastAsia="zh-CN"/>
        </w:rPr>
        <w:t>PE耐酸耐腐蚀暂存</w:t>
      </w:r>
      <w:r>
        <w:rPr>
          <w:rFonts w:hint="default" w:ascii="Times New Roman" w:hAnsi="Times New Roman" w:cs="Times New Roman"/>
          <w:color w:val="auto"/>
          <w:sz w:val="24"/>
          <w:lang w:eastAsia="zh-CN"/>
        </w:rPr>
        <w:t>箱、废填料、废液压油，</w:t>
      </w:r>
      <w:r>
        <w:rPr>
          <w:rFonts w:hint="default" w:ascii="Times New Roman" w:hAnsi="Times New Roman" w:cs="Times New Roman"/>
          <w:color w:val="auto"/>
          <w:kern w:val="0"/>
          <w:sz w:val="24"/>
          <w:lang w:eastAsia="zh-CN"/>
        </w:rPr>
        <w:t>均属于危险废物，需委托资质单位安全合理处置；生活垃圾、委托环卫部门处理。</w:t>
      </w:r>
    </w:p>
    <w:p w14:paraId="0B3EB47A">
      <w:pPr>
        <w:pStyle w:val="17"/>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jc w:val="both"/>
        <w:textAlignment w:val="auto"/>
        <w:rPr>
          <w:rFonts w:hint="eastAsia" w:ascii="Times New Roman" w:hAnsi="Times New Roman" w:eastAsia="宋体"/>
          <w:b/>
          <w:bCs/>
          <w:sz w:val="24"/>
          <w:lang w:val="en-US" w:eastAsia="zh-CN"/>
        </w:rPr>
      </w:pPr>
      <w:r>
        <w:rPr>
          <w:rFonts w:hint="eastAsia" w:ascii="Times New Roman" w:hAnsi="Times New Roman" w:eastAsia="宋体"/>
          <w:b/>
          <w:bCs/>
          <w:sz w:val="24"/>
          <w:lang w:val="en-US" w:eastAsia="zh-CN"/>
        </w:rPr>
        <w:t>四、试运行计划</w:t>
      </w:r>
    </w:p>
    <w:p w14:paraId="4185D168">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2" w:firstLineChars="200"/>
        <w:jc w:val="both"/>
        <w:textAlignment w:val="auto"/>
        <w:rPr>
          <w:rFonts w:hint="eastAsia" w:ascii="Times New Roman" w:hAnsi="Times New Roman" w:eastAsia="宋体"/>
          <w:b/>
          <w:bCs/>
          <w:sz w:val="24"/>
          <w:lang w:val="en-US" w:eastAsia="zh-CN"/>
        </w:rPr>
      </w:pPr>
      <w:r>
        <w:rPr>
          <w:rFonts w:hint="eastAsia" w:ascii="Times New Roman" w:hAnsi="Times New Roman" w:eastAsia="宋体"/>
          <w:b/>
          <w:bCs/>
          <w:sz w:val="24"/>
          <w:lang w:val="en-US" w:eastAsia="zh-CN"/>
        </w:rPr>
        <w:t>1、试运行时间</w:t>
      </w:r>
    </w:p>
    <w:p w14:paraId="187D6DF3">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both"/>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项目拟于发证之日起开始进行试运行，试运行时间为许可证到期前。</w:t>
      </w:r>
    </w:p>
    <w:p w14:paraId="73268EFD">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2" w:firstLineChars="200"/>
        <w:jc w:val="both"/>
        <w:textAlignment w:val="auto"/>
        <w:rPr>
          <w:rFonts w:hint="eastAsia" w:ascii="Times New Roman" w:hAnsi="Times New Roman" w:eastAsia="宋体"/>
          <w:b/>
          <w:bCs/>
          <w:sz w:val="24"/>
          <w:lang w:val="en-US" w:eastAsia="zh-CN"/>
        </w:rPr>
      </w:pPr>
      <w:r>
        <w:rPr>
          <w:rFonts w:hint="eastAsia" w:ascii="Times New Roman" w:hAnsi="Times New Roman" w:eastAsia="宋体"/>
          <w:b/>
          <w:bCs/>
          <w:sz w:val="24"/>
          <w:lang w:val="en-US" w:eastAsia="zh-CN"/>
        </w:rPr>
        <w:t>2、危险废物经营方式、经营类别、经营模式</w:t>
      </w:r>
    </w:p>
    <w:p w14:paraId="0A760D72">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both"/>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经营方式：收集贮存</w:t>
      </w:r>
    </w:p>
    <w:p w14:paraId="4D4354CB">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both"/>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经营类别：HW02、HW03、HW04、HW05、HW06、HW08、HW09、HW11、HW12、HW13、HW16、HW17、HW18、HW19、HW21、HW23、HW29、HW31、HW32、HW34、HW35、HW36、HW46、HW47、HW48、HW49、HW50</w:t>
      </w:r>
    </w:p>
    <w:p w14:paraId="67994D2A">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0" w:firstLineChars="200"/>
        <w:jc w:val="both"/>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经营规模：年收集规模5000吨（最大贮存规模为150吨）</w:t>
      </w:r>
    </w:p>
    <w:p w14:paraId="346B8910">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2" w:firstLineChars="200"/>
        <w:jc w:val="both"/>
        <w:textAlignment w:val="auto"/>
        <w:rPr>
          <w:rFonts w:hint="eastAsia" w:ascii="Times New Roman" w:hAnsi="Times New Roman" w:eastAsia="宋体"/>
          <w:b/>
          <w:bCs/>
          <w:sz w:val="24"/>
          <w:lang w:val="en-US" w:eastAsia="zh-CN"/>
        </w:rPr>
      </w:pPr>
      <w:r>
        <w:rPr>
          <w:rFonts w:hint="eastAsia" w:ascii="Times New Roman" w:hAnsi="Times New Roman" w:eastAsia="宋体"/>
          <w:b/>
          <w:bCs/>
          <w:sz w:val="24"/>
          <w:lang w:val="en-US" w:eastAsia="zh-CN"/>
        </w:rPr>
        <w:t>3、污染防治设施运行计划</w:t>
      </w:r>
    </w:p>
    <w:tbl>
      <w:tblPr>
        <w:tblStyle w:val="27"/>
        <w:tblW w:w="8313" w:type="dxa"/>
        <w:tblInd w:w="1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2"/>
        <w:gridCol w:w="1050"/>
        <w:gridCol w:w="3661"/>
        <w:gridCol w:w="3010"/>
      </w:tblGrid>
      <w:tr w14:paraId="2048D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Align w:val="center"/>
          </w:tcPr>
          <w:p w14:paraId="61425F47">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default" w:ascii="Times New Roman" w:hAnsi="Times New Roman" w:eastAsia="宋体" w:cstheme="minorBidi"/>
                <w:b/>
                <w:bCs/>
                <w:kern w:val="0"/>
                <w:sz w:val="21"/>
                <w:szCs w:val="21"/>
                <w:lang w:val="en-US" w:eastAsia="zh-CN" w:bidi="ar"/>
              </w:rPr>
            </w:pPr>
            <w:r>
              <w:rPr>
                <w:rFonts w:hint="default" w:ascii="Times New Roman" w:hAnsi="Times New Roman" w:eastAsia="宋体" w:cstheme="minorBidi"/>
                <w:b/>
                <w:bCs/>
                <w:kern w:val="0"/>
                <w:sz w:val="21"/>
                <w:szCs w:val="21"/>
                <w:lang w:val="en-US" w:eastAsia="zh-CN" w:bidi="ar"/>
              </w:rPr>
              <w:t>序号</w:t>
            </w:r>
          </w:p>
        </w:tc>
        <w:tc>
          <w:tcPr>
            <w:tcW w:w="1050" w:type="dxa"/>
            <w:vAlign w:val="center"/>
          </w:tcPr>
          <w:p w14:paraId="2FBA0303">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default" w:ascii="Times New Roman" w:hAnsi="Times New Roman" w:eastAsia="宋体" w:cstheme="minorBidi"/>
                <w:b/>
                <w:bCs/>
                <w:kern w:val="0"/>
                <w:sz w:val="21"/>
                <w:szCs w:val="21"/>
                <w:lang w:val="en-US" w:eastAsia="zh-CN" w:bidi="ar"/>
              </w:rPr>
            </w:pPr>
            <w:r>
              <w:rPr>
                <w:rFonts w:hint="default" w:ascii="Times New Roman" w:hAnsi="Times New Roman" w:eastAsia="宋体" w:cstheme="minorBidi"/>
                <w:b/>
                <w:bCs/>
                <w:kern w:val="0"/>
                <w:sz w:val="21"/>
                <w:szCs w:val="21"/>
                <w:lang w:val="en-US" w:eastAsia="zh-CN" w:bidi="ar"/>
              </w:rPr>
              <w:t>项目</w:t>
            </w:r>
          </w:p>
        </w:tc>
        <w:tc>
          <w:tcPr>
            <w:tcW w:w="3661" w:type="dxa"/>
            <w:vAlign w:val="center"/>
          </w:tcPr>
          <w:p w14:paraId="01FE68E9">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default" w:ascii="Times New Roman" w:hAnsi="Times New Roman" w:eastAsia="宋体" w:cstheme="minorBidi"/>
                <w:b/>
                <w:bCs/>
                <w:kern w:val="0"/>
                <w:sz w:val="21"/>
                <w:szCs w:val="21"/>
                <w:lang w:val="en-US" w:eastAsia="zh-CN" w:bidi="ar"/>
              </w:rPr>
            </w:pPr>
            <w:r>
              <w:rPr>
                <w:rFonts w:hint="default" w:ascii="Times New Roman" w:hAnsi="Times New Roman" w:eastAsia="宋体" w:cstheme="minorBidi"/>
                <w:b/>
                <w:bCs/>
                <w:kern w:val="0"/>
                <w:sz w:val="21"/>
                <w:szCs w:val="21"/>
                <w:lang w:val="en-US" w:eastAsia="zh-CN" w:bidi="ar"/>
              </w:rPr>
              <w:t>内容</w:t>
            </w:r>
          </w:p>
        </w:tc>
        <w:tc>
          <w:tcPr>
            <w:tcW w:w="3010" w:type="dxa"/>
            <w:vAlign w:val="center"/>
          </w:tcPr>
          <w:p w14:paraId="08B954FF">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default" w:ascii="Times New Roman" w:hAnsi="Times New Roman" w:eastAsia="宋体" w:cstheme="minorBidi"/>
                <w:b/>
                <w:bCs/>
                <w:kern w:val="0"/>
                <w:sz w:val="21"/>
                <w:szCs w:val="21"/>
                <w:lang w:val="en-US" w:eastAsia="zh-CN" w:bidi="ar"/>
              </w:rPr>
            </w:pPr>
            <w:r>
              <w:rPr>
                <w:rFonts w:hint="default" w:ascii="Times New Roman" w:hAnsi="Times New Roman" w:eastAsia="宋体" w:cstheme="minorBidi"/>
                <w:b/>
                <w:bCs/>
                <w:kern w:val="0"/>
                <w:sz w:val="21"/>
                <w:szCs w:val="21"/>
                <w:lang w:val="en-US" w:eastAsia="zh-CN" w:bidi="ar"/>
              </w:rPr>
              <w:t>实施</w:t>
            </w:r>
          </w:p>
        </w:tc>
      </w:tr>
      <w:tr w14:paraId="0960F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Align w:val="center"/>
          </w:tcPr>
          <w:p w14:paraId="3BB1533C">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1</w:t>
            </w:r>
          </w:p>
        </w:tc>
        <w:tc>
          <w:tcPr>
            <w:tcW w:w="1050" w:type="dxa"/>
            <w:vAlign w:val="center"/>
          </w:tcPr>
          <w:p w14:paraId="26B76F0E">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试运行组织</w:t>
            </w:r>
          </w:p>
        </w:tc>
        <w:tc>
          <w:tcPr>
            <w:tcW w:w="3661" w:type="dxa"/>
            <w:vAlign w:val="center"/>
          </w:tcPr>
          <w:p w14:paraId="2FEE61F0">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建立项目试运行管理小组，包括综合管理部及安环等2个小组</w:t>
            </w:r>
          </w:p>
        </w:tc>
        <w:tc>
          <w:tcPr>
            <w:tcW w:w="3010" w:type="dxa"/>
            <w:vAlign w:val="center"/>
          </w:tcPr>
          <w:p w14:paraId="685FE2C0">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由法定代表人组织并落实各小组人员。</w:t>
            </w:r>
          </w:p>
        </w:tc>
      </w:tr>
      <w:tr w14:paraId="1E38B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restart"/>
            <w:tcBorders>
              <w:bottom w:val="nil"/>
            </w:tcBorders>
            <w:vAlign w:val="center"/>
          </w:tcPr>
          <w:p w14:paraId="54788EA8">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2</w:t>
            </w:r>
          </w:p>
        </w:tc>
        <w:tc>
          <w:tcPr>
            <w:tcW w:w="1050" w:type="dxa"/>
            <w:vMerge w:val="restart"/>
            <w:tcBorders>
              <w:bottom w:val="nil"/>
            </w:tcBorders>
            <w:vAlign w:val="center"/>
          </w:tcPr>
          <w:p w14:paraId="59490A2C">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试运行前培 训</w:t>
            </w:r>
          </w:p>
        </w:tc>
        <w:tc>
          <w:tcPr>
            <w:tcW w:w="3661" w:type="dxa"/>
            <w:vAlign w:val="center"/>
          </w:tcPr>
          <w:p w14:paraId="1006E3ED">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组织技术培训，了解和掌握工艺流程、技术要点</w:t>
            </w:r>
          </w:p>
        </w:tc>
        <w:tc>
          <w:tcPr>
            <w:tcW w:w="3010" w:type="dxa"/>
            <w:vMerge w:val="restart"/>
            <w:tcBorders>
              <w:bottom w:val="nil"/>
            </w:tcBorders>
            <w:vAlign w:val="center"/>
          </w:tcPr>
          <w:p w14:paraId="2DB58A0C">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w:t>
            </w:r>
            <w:r>
              <w:rPr>
                <w:rFonts w:hint="eastAsia" w:ascii="宋体" w:hAnsi="宋体" w:eastAsia="宋体" w:cs="宋体"/>
                <w:b w:val="0"/>
                <w:bCs w:val="0"/>
                <w:kern w:val="0"/>
                <w:sz w:val="21"/>
                <w:szCs w:val="21"/>
                <w:lang w:val="en-US" w:eastAsia="zh-CN" w:bidi="ar"/>
              </w:rPr>
              <w:t>综合管理部及安环</w:t>
            </w:r>
            <w:r>
              <w:rPr>
                <w:rFonts w:hint="eastAsia" w:ascii="宋体" w:hAnsi="宋体" w:eastAsia="宋体" w:cs="宋体"/>
                <w:b w:val="0"/>
                <w:bCs w:val="0"/>
                <w:kern w:val="0"/>
                <w:sz w:val="21"/>
                <w:szCs w:val="21"/>
                <w:lang w:val="en-US" w:eastAsia="zh-CN" w:bidi="ar"/>
              </w:rPr>
              <w:t>组织实施，集中培训和现场培训相结合。</w:t>
            </w:r>
          </w:p>
        </w:tc>
      </w:tr>
      <w:tr w14:paraId="4291A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continue"/>
            <w:tcBorders>
              <w:top w:val="nil"/>
              <w:bottom w:val="nil"/>
            </w:tcBorders>
            <w:vAlign w:val="center"/>
          </w:tcPr>
          <w:p w14:paraId="52026651">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1050" w:type="dxa"/>
            <w:vMerge w:val="continue"/>
            <w:tcBorders>
              <w:top w:val="nil"/>
              <w:bottom w:val="nil"/>
            </w:tcBorders>
            <w:vAlign w:val="center"/>
          </w:tcPr>
          <w:p w14:paraId="6910D8A1">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3661" w:type="dxa"/>
            <w:vAlign w:val="center"/>
          </w:tcPr>
          <w:p w14:paraId="52E2186A">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组织操作培训，了解设备和掌握设施 功能、运行</w:t>
            </w:r>
          </w:p>
        </w:tc>
        <w:tc>
          <w:tcPr>
            <w:tcW w:w="3010" w:type="dxa"/>
            <w:vMerge w:val="continue"/>
            <w:tcBorders>
              <w:top w:val="nil"/>
              <w:bottom w:val="nil"/>
            </w:tcBorders>
            <w:vAlign w:val="center"/>
          </w:tcPr>
          <w:p w14:paraId="6598DC7A">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r>
      <w:tr w14:paraId="7D486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continue"/>
            <w:tcBorders>
              <w:top w:val="nil"/>
            </w:tcBorders>
            <w:vAlign w:val="center"/>
          </w:tcPr>
          <w:p w14:paraId="24A8E4F4">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1050" w:type="dxa"/>
            <w:vMerge w:val="continue"/>
            <w:tcBorders>
              <w:top w:val="nil"/>
            </w:tcBorders>
            <w:vAlign w:val="center"/>
          </w:tcPr>
          <w:p w14:paraId="333059A2">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3661" w:type="dxa"/>
            <w:vAlign w:val="center"/>
          </w:tcPr>
          <w:p w14:paraId="0795DA98">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组织安环培训，掌握安全操作规程、个人防护及应急措施，掌握环保节点，避免跑冒滴、漏。</w:t>
            </w:r>
          </w:p>
        </w:tc>
        <w:tc>
          <w:tcPr>
            <w:tcW w:w="3010" w:type="dxa"/>
            <w:vMerge w:val="continue"/>
            <w:tcBorders>
              <w:top w:val="nil"/>
            </w:tcBorders>
            <w:vAlign w:val="center"/>
          </w:tcPr>
          <w:p w14:paraId="72EF267C">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r>
      <w:tr w14:paraId="6863E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restart"/>
            <w:tcBorders>
              <w:bottom w:val="nil"/>
            </w:tcBorders>
            <w:vAlign w:val="center"/>
          </w:tcPr>
          <w:p w14:paraId="0E8DFE1B">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3</w:t>
            </w:r>
          </w:p>
        </w:tc>
        <w:tc>
          <w:tcPr>
            <w:tcW w:w="1050" w:type="dxa"/>
            <w:vMerge w:val="restart"/>
            <w:tcBorders>
              <w:bottom w:val="nil"/>
            </w:tcBorders>
            <w:vAlign w:val="center"/>
          </w:tcPr>
          <w:p w14:paraId="20D03AFD">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试运行前准 备</w:t>
            </w:r>
          </w:p>
        </w:tc>
        <w:tc>
          <w:tcPr>
            <w:tcW w:w="3661" w:type="dxa"/>
            <w:vAlign w:val="center"/>
          </w:tcPr>
          <w:p w14:paraId="0F389806">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设备设施检查，确保水、电、汽到位，设备设施完好无故障、无泄露</w:t>
            </w:r>
          </w:p>
        </w:tc>
        <w:tc>
          <w:tcPr>
            <w:tcW w:w="3010" w:type="dxa"/>
            <w:vAlign w:val="center"/>
          </w:tcPr>
          <w:p w14:paraId="59C0AFA5">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w:t>
            </w:r>
            <w:r>
              <w:rPr>
                <w:rFonts w:hint="eastAsia" w:ascii="宋体" w:hAnsi="宋体" w:eastAsia="宋体" w:cs="宋体"/>
                <w:b w:val="0"/>
                <w:bCs w:val="0"/>
                <w:kern w:val="0"/>
                <w:sz w:val="21"/>
                <w:szCs w:val="21"/>
                <w:lang w:val="en-US" w:eastAsia="zh-CN" w:bidi="ar"/>
              </w:rPr>
              <w:t>综合管理部</w:t>
            </w:r>
            <w:r>
              <w:rPr>
                <w:rFonts w:hint="eastAsia" w:ascii="宋体" w:hAnsi="宋体" w:eastAsia="宋体" w:cs="宋体"/>
                <w:b w:val="0"/>
                <w:bCs w:val="0"/>
                <w:kern w:val="0"/>
                <w:sz w:val="21"/>
                <w:szCs w:val="21"/>
                <w:lang w:val="en-US" w:eastAsia="zh-CN" w:bidi="ar"/>
              </w:rPr>
              <w:t>实施检查</w:t>
            </w:r>
          </w:p>
        </w:tc>
      </w:tr>
      <w:tr w14:paraId="38090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continue"/>
            <w:tcBorders>
              <w:top w:val="nil"/>
              <w:bottom w:val="nil"/>
            </w:tcBorders>
            <w:vAlign w:val="center"/>
          </w:tcPr>
          <w:p w14:paraId="5EC50DBB">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1050" w:type="dxa"/>
            <w:vMerge w:val="continue"/>
            <w:tcBorders>
              <w:top w:val="nil"/>
              <w:bottom w:val="nil"/>
            </w:tcBorders>
            <w:vAlign w:val="center"/>
          </w:tcPr>
          <w:p w14:paraId="08B64CBC">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3661" w:type="dxa"/>
            <w:vAlign w:val="center"/>
          </w:tcPr>
          <w:p w14:paraId="19C36C67">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材料准备到位，包括原辅材料、药剂</w:t>
            </w:r>
          </w:p>
        </w:tc>
        <w:tc>
          <w:tcPr>
            <w:tcW w:w="3010" w:type="dxa"/>
            <w:vAlign w:val="center"/>
          </w:tcPr>
          <w:p w14:paraId="7101FBEF">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w:t>
            </w:r>
            <w:r>
              <w:rPr>
                <w:rFonts w:hint="eastAsia" w:ascii="宋体" w:hAnsi="宋体" w:eastAsia="宋体" w:cs="宋体"/>
                <w:b w:val="0"/>
                <w:bCs w:val="0"/>
                <w:kern w:val="0"/>
                <w:sz w:val="21"/>
                <w:szCs w:val="21"/>
                <w:lang w:val="en-US" w:eastAsia="zh-CN" w:bidi="ar"/>
              </w:rPr>
              <w:t>综合管理部</w:t>
            </w:r>
            <w:r>
              <w:rPr>
                <w:rFonts w:hint="eastAsia" w:ascii="宋体" w:hAnsi="宋体" w:eastAsia="宋体" w:cs="宋体"/>
                <w:b w:val="0"/>
                <w:bCs w:val="0"/>
                <w:kern w:val="0"/>
                <w:sz w:val="21"/>
                <w:szCs w:val="21"/>
                <w:lang w:val="en-US" w:eastAsia="zh-CN" w:bidi="ar"/>
              </w:rPr>
              <w:t>落实到位</w:t>
            </w:r>
          </w:p>
        </w:tc>
      </w:tr>
      <w:tr w14:paraId="70D01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continue"/>
            <w:tcBorders>
              <w:top w:val="nil"/>
              <w:bottom w:val="nil"/>
            </w:tcBorders>
            <w:vAlign w:val="center"/>
          </w:tcPr>
          <w:p w14:paraId="0F91A843">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1050" w:type="dxa"/>
            <w:vMerge w:val="continue"/>
            <w:tcBorders>
              <w:top w:val="nil"/>
              <w:bottom w:val="nil"/>
            </w:tcBorders>
            <w:vAlign w:val="center"/>
          </w:tcPr>
          <w:p w14:paraId="4B3B46B1">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3661" w:type="dxa"/>
            <w:vAlign w:val="center"/>
          </w:tcPr>
          <w:p w14:paraId="68FA3842">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操作规程制定并张贴</w:t>
            </w:r>
          </w:p>
        </w:tc>
        <w:tc>
          <w:tcPr>
            <w:tcW w:w="3010" w:type="dxa"/>
            <w:vAlign w:val="center"/>
          </w:tcPr>
          <w:p w14:paraId="4B3AB0A2">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由安环落实</w:t>
            </w:r>
          </w:p>
        </w:tc>
      </w:tr>
      <w:tr w14:paraId="6A81F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continue"/>
            <w:tcBorders>
              <w:top w:val="nil"/>
              <w:bottom w:val="nil"/>
            </w:tcBorders>
            <w:vAlign w:val="center"/>
          </w:tcPr>
          <w:p w14:paraId="2E8E2DB9">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1050" w:type="dxa"/>
            <w:vMerge w:val="continue"/>
            <w:tcBorders>
              <w:top w:val="nil"/>
              <w:bottom w:val="nil"/>
            </w:tcBorders>
            <w:vAlign w:val="center"/>
          </w:tcPr>
          <w:p w14:paraId="79FBDE4A">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3661" w:type="dxa"/>
            <w:vAlign w:val="center"/>
          </w:tcPr>
          <w:p w14:paraId="6987EDC3">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技术规范制度并张贴</w:t>
            </w:r>
          </w:p>
        </w:tc>
        <w:tc>
          <w:tcPr>
            <w:tcW w:w="3010" w:type="dxa"/>
            <w:vAlign w:val="center"/>
          </w:tcPr>
          <w:p w14:paraId="2751213B">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由安环落实</w:t>
            </w:r>
          </w:p>
        </w:tc>
      </w:tr>
      <w:tr w14:paraId="5C8DD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continue"/>
            <w:tcBorders>
              <w:top w:val="nil"/>
              <w:bottom w:val="nil"/>
            </w:tcBorders>
            <w:vAlign w:val="center"/>
          </w:tcPr>
          <w:p w14:paraId="22153E79">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1050" w:type="dxa"/>
            <w:vMerge w:val="continue"/>
            <w:tcBorders>
              <w:top w:val="nil"/>
              <w:bottom w:val="nil"/>
            </w:tcBorders>
            <w:vAlign w:val="center"/>
          </w:tcPr>
          <w:p w14:paraId="107BF01E">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3661" w:type="dxa"/>
            <w:vAlign w:val="center"/>
          </w:tcPr>
          <w:p w14:paraId="1C6AECBF">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安环管理规定制定并张贴</w:t>
            </w:r>
          </w:p>
        </w:tc>
        <w:tc>
          <w:tcPr>
            <w:tcW w:w="3010" w:type="dxa"/>
            <w:vAlign w:val="center"/>
          </w:tcPr>
          <w:p w14:paraId="54AB241B">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由安环落实</w:t>
            </w:r>
          </w:p>
        </w:tc>
      </w:tr>
      <w:tr w14:paraId="7E5B9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continue"/>
            <w:tcBorders>
              <w:top w:val="nil"/>
            </w:tcBorders>
            <w:vAlign w:val="center"/>
          </w:tcPr>
          <w:p w14:paraId="230970C1">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1050" w:type="dxa"/>
            <w:vMerge w:val="continue"/>
            <w:tcBorders>
              <w:top w:val="nil"/>
            </w:tcBorders>
            <w:vAlign w:val="center"/>
          </w:tcPr>
          <w:p w14:paraId="031B1735">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3661" w:type="dxa"/>
            <w:vAlign w:val="center"/>
          </w:tcPr>
          <w:p w14:paraId="241E8909">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应急处置方案制定，包括设备故障、突发环境事故、突发安全事故等应急处置措施</w:t>
            </w:r>
          </w:p>
        </w:tc>
        <w:tc>
          <w:tcPr>
            <w:tcW w:w="3010" w:type="dxa"/>
            <w:vAlign w:val="center"/>
          </w:tcPr>
          <w:p w14:paraId="3DC78277">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由安环落实</w:t>
            </w:r>
          </w:p>
        </w:tc>
      </w:tr>
      <w:tr w14:paraId="48FEB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restart"/>
            <w:vAlign w:val="center"/>
          </w:tcPr>
          <w:p w14:paraId="11CCBC4A">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4</w:t>
            </w:r>
          </w:p>
        </w:tc>
        <w:tc>
          <w:tcPr>
            <w:tcW w:w="1050" w:type="dxa"/>
            <w:vMerge w:val="restart"/>
            <w:vAlign w:val="center"/>
          </w:tcPr>
          <w:p w14:paraId="175A097E">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试运行</w:t>
            </w:r>
          </w:p>
        </w:tc>
        <w:tc>
          <w:tcPr>
            <w:tcW w:w="3661" w:type="dxa"/>
            <w:vAlign w:val="center"/>
          </w:tcPr>
          <w:p w14:paraId="4C70B0E2">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废气污染防治设施运行：贮存库废气治理设施。</w:t>
            </w:r>
          </w:p>
        </w:tc>
        <w:tc>
          <w:tcPr>
            <w:tcW w:w="3010" w:type="dxa"/>
            <w:vAlign w:val="center"/>
          </w:tcPr>
          <w:p w14:paraId="59E86BD8">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由技</w:t>
            </w:r>
            <w:r>
              <w:rPr>
                <w:rFonts w:hint="eastAsia" w:ascii="宋体" w:hAnsi="宋体" w:eastAsia="宋体" w:cs="宋体"/>
                <w:b w:val="0"/>
                <w:bCs w:val="0"/>
                <w:kern w:val="0"/>
                <w:sz w:val="21"/>
                <w:szCs w:val="21"/>
                <w:lang w:val="en-US" w:eastAsia="zh-CN" w:bidi="ar"/>
              </w:rPr>
              <w:t>综合管理部及安环</w:t>
            </w:r>
            <w:r>
              <w:rPr>
                <w:rFonts w:hint="eastAsia" w:ascii="宋体" w:hAnsi="宋体" w:eastAsia="宋体" w:cs="宋体"/>
                <w:b w:val="0"/>
                <w:bCs w:val="0"/>
                <w:kern w:val="0"/>
                <w:sz w:val="21"/>
                <w:szCs w:val="21"/>
                <w:lang w:val="en-US" w:eastAsia="zh-CN" w:bidi="ar"/>
              </w:rPr>
              <w:t>联合落实</w:t>
            </w:r>
          </w:p>
        </w:tc>
      </w:tr>
      <w:tr w14:paraId="331B6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continue"/>
            <w:vAlign w:val="center"/>
          </w:tcPr>
          <w:p w14:paraId="2232C9C2">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1050" w:type="dxa"/>
            <w:vMerge w:val="continue"/>
            <w:vAlign w:val="center"/>
          </w:tcPr>
          <w:p w14:paraId="7EBC8976">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3661" w:type="dxa"/>
            <w:vAlign w:val="center"/>
          </w:tcPr>
          <w:p w14:paraId="3263F0CF">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废水污染防治设施试运行：</w:t>
            </w:r>
          </w:p>
        </w:tc>
        <w:tc>
          <w:tcPr>
            <w:tcW w:w="3010" w:type="dxa"/>
            <w:vAlign w:val="center"/>
          </w:tcPr>
          <w:p w14:paraId="1971D893">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由技</w:t>
            </w:r>
            <w:r>
              <w:rPr>
                <w:rFonts w:hint="eastAsia" w:ascii="宋体" w:hAnsi="宋体" w:eastAsia="宋体" w:cs="宋体"/>
                <w:b w:val="0"/>
                <w:bCs w:val="0"/>
                <w:kern w:val="0"/>
                <w:sz w:val="21"/>
                <w:szCs w:val="21"/>
                <w:lang w:val="en-US" w:eastAsia="zh-CN" w:bidi="ar"/>
              </w:rPr>
              <w:t>综合管理部及安环</w:t>
            </w:r>
            <w:r>
              <w:rPr>
                <w:rFonts w:hint="eastAsia" w:ascii="宋体" w:hAnsi="宋体" w:eastAsia="宋体" w:cs="宋体"/>
                <w:b w:val="0"/>
                <w:bCs w:val="0"/>
                <w:kern w:val="0"/>
                <w:sz w:val="21"/>
                <w:szCs w:val="21"/>
                <w:lang w:val="en-US" w:eastAsia="zh-CN" w:bidi="ar"/>
              </w:rPr>
              <w:t>联合落实</w:t>
            </w:r>
          </w:p>
        </w:tc>
      </w:tr>
      <w:tr w14:paraId="46C4E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continue"/>
            <w:vAlign w:val="center"/>
          </w:tcPr>
          <w:p w14:paraId="1AB2F3EC">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1050" w:type="dxa"/>
            <w:vMerge w:val="continue"/>
            <w:vAlign w:val="center"/>
          </w:tcPr>
          <w:p w14:paraId="6EB8EB76">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3661" w:type="dxa"/>
            <w:vAlign w:val="center"/>
          </w:tcPr>
          <w:p w14:paraId="5D0AE45E">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环境监测，包括废气监测、废水监测 、大气监测、地下水监测、噪声监测、 固废监测等事项，及时为试运行提 供检测分析数据</w:t>
            </w:r>
          </w:p>
        </w:tc>
        <w:tc>
          <w:tcPr>
            <w:tcW w:w="3010" w:type="dxa"/>
            <w:vAlign w:val="center"/>
          </w:tcPr>
          <w:p w14:paraId="1E925B69">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由安环部实</w:t>
            </w:r>
          </w:p>
        </w:tc>
      </w:tr>
      <w:tr w14:paraId="79E31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continue"/>
            <w:vAlign w:val="center"/>
          </w:tcPr>
          <w:p w14:paraId="0E4A9697">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1050" w:type="dxa"/>
            <w:vMerge w:val="continue"/>
            <w:vAlign w:val="center"/>
          </w:tcPr>
          <w:p w14:paraId="3B657168">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3661" w:type="dxa"/>
            <w:vAlign w:val="center"/>
          </w:tcPr>
          <w:p w14:paraId="6D0227EA">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试运行记录，包括设备设施试运行记录、设备设施维护记录，生产试运行记录等</w:t>
            </w:r>
          </w:p>
        </w:tc>
        <w:tc>
          <w:tcPr>
            <w:tcW w:w="3010" w:type="dxa"/>
            <w:vAlign w:val="center"/>
          </w:tcPr>
          <w:p w14:paraId="00B76087">
            <w:pPr>
              <w:keepNext w:val="0"/>
              <w:keepLines w:val="0"/>
              <w:pageBreakBefore w:val="0"/>
              <w:widowControl/>
              <w:kinsoku w:val="0"/>
              <w:wordWrap/>
              <w:overflowPunct/>
              <w:topLinePunct w:val="0"/>
              <w:autoSpaceDE w:val="0"/>
              <w:autoSpaceDN w:val="0"/>
              <w:bidi w:val="0"/>
              <w:adjustRightInd w:val="0"/>
              <w:snapToGrid w:val="0"/>
              <w:spacing w:line="0" w:lineRule="atLeast"/>
              <w:ind w:left="0" w:leftChars="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由安环部实</w:t>
            </w:r>
          </w:p>
        </w:tc>
      </w:tr>
      <w:tr w14:paraId="29E0F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vMerge w:val="continue"/>
            <w:tcBorders>
              <w:bottom w:val="single" w:color="000000" w:sz="2" w:space="0"/>
            </w:tcBorders>
            <w:vAlign w:val="center"/>
          </w:tcPr>
          <w:p w14:paraId="686C2455">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1050" w:type="dxa"/>
            <w:vMerge w:val="continue"/>
            <w:tcBorders>
              <w:bottom w:val="single" w:color="000000" w:sz="2" w:space="0"/>
            </w:tcBorders>
            <w:vAlign w:val="center"/>
          </w:tcPr>
          <w:p w14:paraId="5AD206E8">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p>
        </w:tc>
        <w:tc>
          <w:tcPr>
            <w:tcW w:w="3661" w:type="dxa"/>
            <w:vAlign w:val="center"/>
          </w:tcPr>
          <w:p w14:paraId="78911D9A">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固废管理：处置固废及次生固废产生 量、贮存及标识标志，做好出入库、计量、记录工作，做好贮存仓库巡检工作。</w:t>
            </w:r>
          </w:p>
        </w:tc>
        <w:tc>
          <w:tcPr>
            <w:tcW w:w="3010" w:type="dxa"/>
            <w:vAlign w:val="center"/>
          </w:tcPr>
          <w:p w14:paraId="4B75DA8C">
            <w:pPr>
              <w:keepNext w:val="0"/>
              <w:keepLines w:val="0"/>
              <w:pageBreakBefore w:val="0"/>
              <w:widowControl/>
              <w:kinsoku w:val="0"/>
              <w:wordWrap/>
              <w:overflowPunct/>
              <w:topLinePunct w:val="0"/>
              <w:autoSpaceDE w:val="0"/>
              <w:autoSpaceDN w:val="0"/>
              <w:bidi w:val="0"/>
              <w:adjustRightInd w:val="0"/>
              <w:snapToGrid w:val="0"/>
              <w:spacing w:line="0" w:lineRule="atLeast"/>
              <w:ind w:left="0" w:leftChars="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由安环部实</w:t>
            </w:r>
          </w:p>
        </w:tc>
      </w:tr>
      <w:tr w14:paraId="54EEB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2" w:type="dxa"/>
            <w:tcBorders>
              <w:top w:val="single" w:color="000000" w:sz="2" w:space="0"/>
            </w:tcBorders>
            <w:vAlign w:val="center"/>
          </w:tcPr>
          <w:p w14:paraId="322A20AA">
            <w:pPr>
              <w:keepNext w:val="0"/>
              <w:keepLines w:val="0"/>
              <w:pageBreakBefore w:val="0"/>
              <w:widowControl/>
              <w:kinsoku w:val="0"/>
              <w:wordWrap/>
              <w:overflowPunct/>
              <w:topLinePunct w:val="0"/>
              <w:autoSpaceDE w:val="0"/>
              <w:autoSpaceDN w:val="0"/>
              <w:bidi w:val="0"/>
              <w:adjustRightInd w:val="0"/>
              <w:snapToGrid w:val="0"/>
              <w:spacing w:line="0" w:lineRule="atLeast"/>
              <w:ind w:left="0" w:leftChars="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5</w:t>
            </w:r>
          </w:p>
        </w:tc>
        <w:tc>
          <w:tcPr>
            <w:tcW w:w="1050" w:type="dxa"/>
            <w:tcBorders>
              <w:top w:val="single" w:color="000000" w:sz="2" w:space="0"/>
            </w:tcBorders>
            <w:vAlign w:val="center"/>
          </w:tcPr>
          <w:p w14:paraId="5D512D3C">
            <w:pPr>
              <w:keepNext w:val="0"/>
              <w:keepLines w:val="0"/>
              <w:pageBreakBefore w:val="0"/>
              <w:widowControl/>
              <w:kinsoku w:val="0"/>
              <w:wordWrap/>
              <w:overflowPunct/>
              <w:topLinePunct w:val="0"/>
              <w:autoSpaceDE w:val="0"/>
              <w:autoSpaceDN w:val="0"/>
              <w:bidi w:val="0"/>
              <w:adjustRightInd w:val="0"/>
              <w:snapToGrid w:val="0"/>
              <w:spacing w:line="0" w:lineRule="atLeast"/>
              <w:ind w:left="0" w:leftChars="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试运行总结</w:t>
            </w:r>
          </w:p>
        </w:tc>
        <w:tc>
          <w:tcPr>
            <w:tcW w:w="3661" w:type="dxa"/>
            <w:vAlign w:val="center"/>
          </w:tcPr>
          <w:p w14:paraId="0F7B6530">
            <w:pPr>
              <w:keepNext w:val="0"/>
              <w:keepLines w:val="0"/>
              <w:pageBreakBefore w:val="0"/>
              <w:widowControl/>
              <w:kinsoku w:val="0"/>
              <w:wordWrap/>
              <w:overflowPunct/>
              <w:topLinePunct w:val="0"/>
              <w:autoSpaceDE w:val="0"/>
              <w:autoSpaceDN w:val="0"/>
              <w:bidi w:val="0"/>
              <w:adjustRightInd w:val="0"/>
              <w:snapToGrid w:val="0"/>
              <w:spacing w:line="0" w:lineRule="atLeast"/>
              <w:ind w:left="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试运行完毕后进行总结，对设备设施运行状况进行评估，梳理存在的问题，及时制定措施，限期整改完成</w:t>
            </w:r>
          </w:p>
        </w:tc>
        <w:tc>
          <w:tcPr>
            <w:tcW w:w="3010" w:type="dxa"/>
            <w:vAlign w:val="center"/>
          </w:tcPr>
          <w:p w14:paraId="65DF076F">
            <w:pPr>
              <w:keepNext w:val="0"/>
              <w:keepLines w:val="0"/>
              <w:pageBreakBefore w:val="0"/>
              <w:widowControl/>
              <w:kinsoku w:val="0"/>
              <w:wordWrap/>
              <w:overflowPunct/>
              <w:topLinePunct w:val="0"/>
              <w:autoSpaceDE w:val="0"/>
              <w:autoSpaceDN w:val="0"/>
              <w:bidi w:val="0"/>
              <w:adjustRightInd w:val="0"/>
              <w:snapToGrid w:val="0"/>
              <w:spacing w:line="0" w:lineRule="atLeast"/>
              <w:ind w:left="0" w:leftChars="0" w:right="0" w:firstLine="0"/>
              <w:jc w:val="center"/>
              <w:textAlignment w:val="baseline"/>
              <w:rPr>
                <w:rFonts w:hint="eastAsia" w:ascii="宋体" w:hAnsi="宋体" w:eastAsia="宋体" w:cs="宋体"/>
                <w:b w:val="0"/>
                <w:bCs w:val="0"/>
                <w:kern w:val="0"/>
                <w:sz w:val="21"/>
                <w:szCs w:val="21"/>
                <w:lang w:val="en-US" w:eastAsia="zh-CN" w:bidi="ar"/>
              </w:rPr>
            </w:pPr>
            <w:r>
              <w:rPr>
                <w:rFonts w:hint="eastAsia" w:ascii="宋体" w:hAnsi="宋体" w:eastAsia="宋体" w:cs="宋体"/>
                <w:b w:val="0"/>
                <w:bCs w:val="0"/>
                <w:kern w:val="0"/>
                <w:sz w:val="21"/>
                <w:szCs w:val="21"/>
                <w:lang w:val="en-US" w:eastAsia="zh-CN" w:bidi="ar"/>
              </w:rPr>
              <w:t>由管理小组召开会议并落实</w:t>
            </w:r>
          </w:p>
        </w:tc>
      </w:tr>
    </w:tbl>
    <w:p w14:paraId="18E6AED8">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2" w:firstLineChars="200"/>
        <w:jc w:val="left"/>
        <w:textAlignment w:val="auto"/>
        <w:rPr>
          <w:rFonts w:hint="eastAsia" w:ascii="Times New Roman" w:hAnsi="Times New Roman" w:eastAsia="宋体"/>
          <w:b/>
          <w:bCs/>
          <w:sz w:val="24"/>
          <w:lang w:val="en-US" w:eastAsia="zh-CN"/>
        </w:rPr>
      </w:pPr>
      <w:r>
        <w:rPr>
          <w:rFonts w:hint="eastAsia" w:ascii="Times New Roman" w:hAnsi="Times New Roman" w:eastAsia="宋体"/>
          <w:b/>
          <w:bCs/>
          <w:sz w:val="24"/>
          <w:lang w:val="en-US" w:eastAsia="zh-CN"/>
        </w:rPr>
        <w:t>4、试运行期间的各项管理制度</w:t>
      </w:r>
    </w:p>
    <w:p w14:paraId="724911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sz w:val="24"/>
          <w:lang w:val="en-US" w:eastAsia="zh-CN"/>
        </w:rPr>
        <w:t>扬州易丰源环保科技有限公司</w:t>
      </w:r>
      <w:r>
        <w:rPr>
          <w:rFonts w:hint="eastAsia" w:ascii="Times New Roman" w:hAnsi="Times New Roman" w:eastAsia="宋体"/>
          <w:b w:val="0"/>
          <w:bCs w:val="0"/>
          <w:sz w:val="24"/>
          <w:lang w:val="en-US" w:eastAsia="zh-CN"/>
        </w:rPr>
        <w:t>试运行期间设置管理制度，并建立废气处理设施运行台账、记录，以促进全公司的环境保护工作，使环境保护工作范化和程序化，建立危险废物进出厂分析及管理台账制度，及时完善厂内监控监管及公示内容等。公司及时修编应急预案，并报环保局备案。试运行期间，公司将贯彻执行环境管理，不断建立健全现有环境管理制度。</w:t>
      </w:r>
    </w:p>
    <w:p w14:paraId="7FEE2D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sz w:val="24"/>
          <w:lang w:val="en-US" w:eastAsia="zh-CN"/>
        </w:rPr>
        <w:t>扬州易丰源环保科技有限公司</w:t>
      </w:r>
      <w:r>
        <w:rPr>
          <w:rFonts w:hint="eastAsia" w:ascii="Times New Roman" w:hAnsi="Times New Roman" w:eastAsia="宋体"/>
          <w:b w:val="0"/>
          <w:bCs w:val="0"/>
          <w:sz w:val="24"/>
          <w:lang w:val="en-US" w:eastAsia="zh-CN"/>
        </w:rPr>
        <w:t>在试运行阶段按照有关要求，通过网站或者其他便于公众知悉的方式，依法向社会公开拟建项目污染物排放清单，明确污染物排放的管理要求。包括原辅材料组分要求，企业采取的环境保护措施及主要运行参数，排放的污染物种类、排放浓度，排污口信息，执行的环境标准，环境风险防范措施以及环境监测等相关内容。</w:t>
      </w:r>
    </w:p>
    <w:p w14:paraId="210370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应建立污染物排放控制台账，并保存相关记录至少10年。具体要求如下：</w:t>
      </w:r>
    </w:p>
    <w:p w14:paraId="13AF35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①废气处理措施更换频次，更换量；</w:t>
      </w:r>
    </w:p>
    <w:p w14:paraId="06C362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②危险废物的产生、储存、运输、委托处置情况应定时记录。</w:t>
      </w:r>
    </w:p>
    <w:p w14:paraId="71D31BBE">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2" w:firstLineChars="200"/>
        <w:jc w:val="left"/>
        <w:textAlignment w:val="auto"/>
        <w:rPr>
          <w:rFonts w:hint="default" w:ascii="Times New Roman" w:hAnsi="Times New Roman" w:eastAsia="宋体"/>
          <w:b/>
          <w:bCs/>
          <w:sz w:val="24"/>
          <w:lang w:val="en-US" w:eastAsia="zh-CN"/>
        </w:rPr>
      </w:pPr>
      <w:r>
        <w:rPr>
          <w:rFonts w:hint="eastAsia" w:ascii="Times New Roman" w:hAnsi="Times New Roman" w:eastAsia="宋体"/>
          <w:b/>
          <w:bCs/>
          <w:sz w:val="24"/>
          <w:lang w:val="en-US" w:eastAsia="zh-CN"/>
        </w:rPr>
        <w:t>5、危险废物经营计划</w:t>
      </w:r>
    </w:p>
    <w:p w14:paraId="443244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default" w:ascii="Times New Roman" w:hAnsi="Times New Roman" w:eastAsia="宋体"/>
          <w:b w:val="0"/>
          <w:bCs w:val="0"/>
          <w:sz w:val="24"/>
          <w:lang w:val="en-US" w:eastAsia="zh-CN"/>
        </w:rPr>
        <w:t>按照《危险废物处理处置经营单位规范化整治要求》</w:t>
      </w:r>
      <w:r>
        <w:rPr>
          <w:rFonts w:hint="eastAsia" w:ascii="Times New Roman" w:hAnsi="Times New Roman" w:eastAsia="宋体"/>
          <w:b w:val="0"/>
          <w:bCs w:val="0"/>
          <w:sz w:val="24"/>
          <w:lang w:val="en-US" w:eastAsia="zh-CN"/>
        </w:rPr>
        <w:t>，</w:t>
      </w:r>
      <w:r>
        <w:rPr>
          <w:rFonts w:hint="default" w:ascii="Times New Roman" w:hAnsi="Times New Roman" w:eastAsia="宋体"/>
          <w:b w:val="0"/>
          <w:bCs w:val="0"/>
          <w:sz w:val="24"/>
          <w:lang w:val="en-US" w:eastAsia="zh-CN"/>
        </w:rPr>
        <w:t>由公司总经理负责试运行的全面管理，</w:t>
      </w:r>
      <w:r>
        <w:rPr>
          <w:rFonts w:hint="eastAsia" w:ascii="Times New Roman" w:hAnsi="Times New Roman" w:eastAsia="宋体"/>
          <w:b w:val="0"/>
          <w:bCs w:val="0"/>
          <w:sz w:val="24"/>
          <w:lang w:val="en-US" w:eastAsia="zh-CN"/>
        </w:rPr>
        <w:t>其他</w:t>
      </w:r>
      <w:r>
        <w:rPr>
          <w:rFonts w:hint="default" w:ascii="Times New Roman" w:hAnsi="Times New Roman" w:eastAsia="宋体"/>
          <w:b w:val="0"/>
          <w:bCs w:val="0"/>
          <w:sz w:val="24"/>
          <w:lang w:val="en-US" w:eastAsia="zh-CN"/>
        </w:rPr>
        <w:t>部门负责并组织落实，实现危险废物从收集、转移、贮存、处置、填埋及环境监测全过程精细化管理，确保试运行各项内容顺利完成。</w:t>
      </w:r>
    </w:p>
    <w:p w14:paraId="7F1212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（1）</w:t>
      </w:r>
      <w:r>
        <w:rPr>
          <w:rFonts w:hint="default" w:ascii="Times New Roman" w:hAnsi="Times New Roman" w:eastAsia="宋体"/>
          <w:b w:val="0"/>
          <w:bCs w:val="0"/>
          <w:sz w:val="24"/>
          <w:lang w:val="en-US" w:eastAsia="zh-CN"/>
        </w:rPr>
        <w:t>已组织申请危险废物经营许可证，待发证后开始试运行；</w:t>
      </w:r>
    </w:p>
    <w:p w14:paraId="7D72CC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（2）</w:t>
      </w:r>
      <w:r>
        <w:rPr>
          <w:rFonts w:hint="default" w:ascii="Times New Roman" w:hAnsi="Times New Roman" w:eastAsia="宋体"/>
          <w:b w:val="0"/>
          <w:bCs w:val="0"/>
          <w:sz w:val="24"/>
          <w:lang w:val="en-US" w:eastAsia="zh-CN"/>
        </w:rPr>
        <w:t>废物入场前取样分析检验，对符合要求的，与产废单位签订处置合同，并按规定要求在许可证经营范围内组织废物收集、转移。</w:t>
      </w:r>
    </w:p>
    <w:p w14:paraId="786558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（3）</w:t>
      </w:r>
      <w:r>
        <w:rPr>
          <w:rFonts w:hint="default" w:ascii="Times New Roman" w:hAnsi="Times New Roman" w:eastAsia="宋体"/>
          <w:b w:val="0"/>
          <w:bCs w:val="0"/>
          <w:sz w:val="24"/>
          <w:lang w:val="en-US" w:eastAsia="zh-CN"/>
        </w:rPr>
        <w:t>按处置合同组织危险废物运输车辆进行废物转移，危险废物容器和包装物应在显著位置设置危险废物识别标志，装车后按指定路线运输并做好应急防范措施，转移全程开启GPS定位。</w:t>
      </w:r>
    </w:p>
    <w:p w14:paraId="422465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（4）</w:t>
      </w:r>
      <w:r>
        <w:rPr>
          <w:rFonts w:hint="default" w:ascii="Times New Roman" w:hAnsi="Times New Roman" w:eastAsia="宋体"/>
          <w:b w:val="0"/>
          <w:bCs w:val="0"/>
          <w:sz w:val="24"/>
          <w:lang w:val="en-US" w:eastAsia="zh-CN"/>
        </w:rPr>
        <w:t>废物入场后按规定区域分类暂存，按规定验收和办理入库手续</w:t>
      </w:r>
      <w:r>
        <w:rPr>
          <w:rFonts w:hint="eastAsia" w:ascii="Times New Roman" w:hAnsi="Times New Roman" w:eastAsia="宋体"/>
          <w:b w:val="0"/>
          <w:bCs w:val="0"/>
          <w:sz w:val="24"/>
          <w:lang w:val="en-US" w:eastAsia="zh-CN"/>
        </w:rPr>
        <w:t>，</w:t>
      </w:r>
      <w:r>
        <w:rPr>
          <w:rFonts w:hint="default" w:ascii="Times New Roman" w:hAnsi="Times New Roman" w:eastAsia="宋体"/>
          <w:b w:val="0"/>
          <w:bCs w:val="0"/>
          <w:sz w:val="24"/>
          <w:lang w:val="en-US" w:eastAsia="zh-CN"/>
        </w:rPr>
        <w:t>并二次取样分析检验，对不合要求或无法处置的</w:t>
      </w:r>
      <w:r>
        <w:rPr>
          <w:rFonts w:hint="eastAsia" w:ascii="Times New Roman" w:hAnsi="Times New Roman" w:eastAsia="宋体"/>
          <w:b w:val="0"/>
          <w:bCs w:val="0"/>
          <w:sz w:val="24"/>
          <w:lang w:val="en-US" w:eastAsia="zh-CN"/>
        </w:rPr>
        <w:t>，</w:t>
      </w:r>
      <w:r>
        <w:rPr>
          <w:rFonts w:hint="default" w:ascii="Times New Roman" w:hAnsi="Times New Roman" w:eastAsia="宋体"/>
          <w:b w:val="0"/>
          <w:bCs w:val="0"/>
          <w:sz w:val="24"/>
          <w:lang w:val="en-US" w:eastAsia="zh-CN"/>
        </w:rPr>
        <w:t>告知产废单位并作退货处理</w:t>
      </w:r>
      <w:r>
        <w:rPr>
          <w:rFonts w:hint="eastAsia" w:ascii="Times New Roman" w:hAnsi="Times New Roman" w:eastAsia="宋体"/>
          <w:b w:val="0"/>
          <w:bCs w:val="0"/>
          <w:sz w:val="24"/>
          <w:lang w:val="en-US" w:eastAsia="zh-CN"/>
        </w:rPr>
        <w:t>。</w:t>
      </w:r>
    </w:p>
    <w:p w14:paraId="689DFE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（5）</w:t>
      </w:r>
      <w:r>
        <w:rPr>
          <w:rFonts w:hint="default" w:ascii="Times New Roman" w:hAnsi="Times New Roman" w:eastAsia="宋体"/>
          <w:b w:val="0"/>
          <w:bCs w:val="0"/>
          <w:sz w:val="24"/>
          <w:lang w:val="en-US" w:eastAsia="zh-CN"/>
        </w:rPr>
        <w:t>废物暂存库场所按规定设置危险废物识别标志和标志牌。</w:t>
      </w:r>
    </w:p>
    <w:p w14:paraId="1E1117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（6）</w:t>
      </w:r>
      <w:r>
        <w:rPr>
          <w:rFonts w:hint="default" w:ascii="Times New Roman" w:hAnsi="Times New Roman" w:eastAsia="宋体"/>
          <w:b w:val="0"/>
          <w:bCs w:val="0"/>
          <w:sz w:val="24"/>
          <w:lang w:val="en-US" w:eastAsia="zh-CN"/>
        </w:rPr>
        <w:t>制定危险废物管理计划，并报扬州市邗江生态环境局备案。</w:t>
      </w:r>
    </w:p>
    <w:p w14:paraId="562502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（7）</w:t>
      </w:r>
      <w:r>
        <w:rPr>
          <w:rFonts w:hint="default" w:ascii="Times New Roman" w:hAnsi="Times New Roman" w:eastAsia="宋体"/>
          <w:b w:val="0"/>
          <w:bCs w:val="0"/>
          <w:sz w:val="24"/>
          <w:lang w:val="en-US" w:eastAsia="zh-CN"/>
        </w:rPr>
        <w:t>指定安环、市场</w:t>
      </w:r>
      <w:r>
        <w:rPr>
          <w:rFonts w:hint="eastAsia" w:ascii="Times New Roman" w:hAnsi="Times New Roman" w:eastAsia="宋体"/>
          <w:b w:val="0"/>
          <w:bCs w:val="0"/>
          <w:sz w:val="24"/>
          <w:lang w:val="en-US" w:eastAsia="zh-CN"/>
        </w:rPr>
        <w:t>等</w:t>
      </w:r>
      <w:r>
        <w:rPr>
          <w:rFonts w:hint="default" w:ascii="Times New Roman" w:hAnsi="Times New Roman" w:eastAsia="宋体"/>
          <w:b w:val="0"/>
          <w:bCs w:val="0"/>
          <w:sz w:val="24"/>
          <w:lang w:val="en-US" w:eastAsia="zh-CN"/>
        </w:rPr>
        <w:t>相关人员及时办理废物转移网上申请、登记。</w:t>
      </w:r>
    </w:p>
    <w:p w14:paraId="08D540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（8）</w:t>
      </w:r>
      <w:r>
        <w:rPr>
          <w:rFonts w:hint="default" w:ascii="Times New Roman" w:hAnsi="Times New Roman" w:eastAsia="宋体"/>
          <w:b w:val="0"/>
          <w:bCs w:val="0"/>
          <w:sz w:val="24"/>
          <w:lang w:val="en-US" w:eastAsia="zh-CN"/>
        </w:rPr>
        <w:t>要求及时填写危险废物转移联单并加盖公章，转移完毕后转移联单保存齐全并上交至安环，与危险废物经营情况记录簿同期保存。</w:t>
      </w:r>
    </w:p>
    <w:p w14:paraId="3AD934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（9）次生危险废物</w:t>
      </w:r>
      <w:r>
        <w:rPr>
          <w:rFonts w:hint="default" w:ascii="Times New Roman" w:hAnsi="Times New Roman" w:eastAsia="宋体"/>
          <w:b w:val="0"/>
          <w:bCs w:val="0"/>
          <w:sz w:val="24"/>
          <w:lang w:val="en-US" w:eastAsia="zh-CN"/>
        </w:rPr>
        <w:t>等</w:t>
      </w:r>
      <w:r>
        <w:rPr>
          <w:rFonts w:hint="eastAsia" w:ascii="Times New Roman" w:hAnsi="Times New Roman" w:eastAsia="宋体"/>
          <w:b w:val="0"/>
          <w:bCs w:val="0"/>
          <w:sz w:val="24"/>
          <w:lang w:val="en-US" w:eastAsia="zh-CN"/>
        </w:rPr>
        <w:t>有资质单位</w:t>
      </w:r>
      <w:r>
        <w:rPr>
          <w:rFonts w:hint="default" w:ascii="Times New Roman" w:hAnsi="Times New Roman" w:eastAsia="宋体"/>
          <w:b w:val="0"/>
          <w:bCs w:val="0"/>
          <w:sz w:val="24"/>
          <w:lang w:val="en-US" w:eastAsia="zh-CN"/>
        </w:rPr>
        <w:t>处置，已签订了危险废物处置合同，并按规定组织废物转移。</w:t>
      </w:r>
    </w:p>
    <w:p w14:paraId="428B5D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（10）</w:t>
      </w:r>
      <w:r>
        <w:rPr>
          <w:rFonts w:hint="default" w:ascii="Times New Roman" w:hAnsi="Times New Roman" w:eastAsia="宋体"/>
          <w:b w:val="0"/>
          <w:bCs w:val="0"/>
          <w:sz w:val="24"/>
          <w:lang w:val="en-US" w:eastAsia="zh-CN"/>
        </w:rPr>
        <w:t>已制定了应急预案，并报扬州市邗江生态环境局备案，202</w:t>
      </w:r>
      <w:r>
        <w:rPr>
          <w:rFonts w:hint="eastAsia" w:ascii="Times New Roman" w:hAnsi="Times New Roman" w:eastAsia="宋体"/>
          <w:b w:val="0"/>
          <w:bCs w:val="0"/>
          <w:sz w:val="24"/>
          <w:lang w:val="en-US" w:eastAsia="zh-CN"/>
        </w:rPr>
        <w:t>6</w:t>
      </w:r>
      <w:r>
        <w:rPr>
          <w:rFonts w:hint="default" w:ascii="Times New Roman" w:hAnsi="Times New Roman" w:eastAsia="宋体"/>
          <w:b w:val="0"/>
          <w:bCs w:val="0"/>
          <w:sz w:val="24"/>
          <w:lang w:val="en-US" w:eastAsia="zh-CN"/>
        </w:rPr>
        <w:t>年</w:t>
      </w:r>
      <w:r>
        <w:rPr>
          <w:rFonts w:hint="eastAsia" w:ascii="Times New Roman" w:hAnsi="Times New Roman" w:eastAsia="宋体"/>
          <w:b w:val="0"/>
          <w:bCs w:val="0"/>
          <w:sz w:val="24"/>
          <w:lang w:val="en-US" w:eastAsia="zh-CN"/>
        </w:rPr>
        <w:t>7</w:t>
      </w:r>
      <w:r>
        <w:rPr>
          <w:rFonts w:hint="default" w:ascii="Times New Roman" w:hAnsi="Times New Roman" w:eastAsia="宋体"/>
          <w:b w:val="0"/>
          <w:bCs w:val="0"/>
          <w:sz w:val="24"/>
          <w:lang w:val="en-US" w:eastAsia="zh-CN"/>
        </w:rPr>
        <w:t>月已组织了一次应急演练。</w:t>
      </w:r>
    </w:p>
    <w:p w14:paraId="140949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（11）</w:t>
      </w:r>
      <w:r>
        <w:rPr>
          <w:rFonts w:hint="default" w:ascii="Times New Roman" w:hAnsi="Times New Roman" w:eastAsia="宋体"/>
          <w:b w:val="0"/>
          <w:bCs w:val="0"/>
          <w:sz w:val="24"/>
          <w:lang w:val="en-US" w:eastAsia="zh-CN"/>
        </w:rPr>
        <w:t>废物暂存过程中严格执行分类存放，性质不相容而未经安全性处置的危险废物分类存放，危险废物和非危险废物分类贮存，危险废物暂存时间不得超过1年。</w:t>
      </w:r>
    </w:p>
    <w:p w14:paraId="07BB36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（12）</w:t>
      </w:r>
      <w:r>
        <w:rPr>
          <w:rFonts w:hint="default" w:ascii="Times New Roman" w:hAnsi="Times New Roman" w:eastAsia="宋体"/>
          <w:b w:val="0"/>
          <w:bCs w:val="0"/>
          <w:sz w:val="24"/>
          <w:lang w:val="en-US" w:eastAsia="zh-CN"/>
        </w:rPr>
        <w:t>试运行期间，由公司委托检测有限公司定期组织对废水、废气、地下水进行环境监测。</w:t>
      </w:r>
    </w:p>
    <w:p w14:paraId="7E6B29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（13）</w:t>
      </w:r>
      <w:r>
        <w:rPr>
          <w:rFonts w:hint="default" w:ascii="Times New Roman" w:hAnsi="Times New Roman" w:eastAsia="宋体"/>
          <w:b w:val="0"/>
          <w:bCs w:val="0"/>
          <w:sz w:val="24"/>
          <w:lang w:val="en-US" w:eastAsia="zh-CN"/>
        </w:rPr>
        <w:t>对</w:t>
      </w:r>
      <w:r>
        <w:rPr>
          <w:rFonts w:hint="eastAsia" w:ascii="Times New Roman" w:hAnsi="Times New Roman" w:eastAsia="宋体"/>
          <w:b w:val="0"/>
          <w:bCs w:val="0"/>
          <w:sz w:val="24"/>
          <w:lang w:val="en-US" w:eastAsia="zh-CN"/>
        </w:rPr>
        <w:t>贮存</w:t>
      </w:r>
      <w:r>
        <w:rPr>
          <w:rFonts w:hint="default" w:ascii="Times New Roman" w:hAnsi="Times New Roman" w:eastAsia="宋体"/>
          <w:b w:val="0"/>
          <w:bCs w:val="0"/>
          <w:sz w:val="24"/>
          <w:lang w:val="en-US" w:eastAsia="zh-CN"/>
        </w:rPr>
        <w:t>设施、安全和应急设备以及运行设备等进行巡检，发现问题及时报告和处理，确保生产及污染防治设施运行正常，定期对监测仪器进行校正和维护，确保环境监测准确无误。</w:t>
      </w:r>
    </w:p>
    <w:p w14:paraId="5481A5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（14）</w:t>
      </w:r>
      <w:r>
        <w:rPr>
          <w:rFonts w:hint="default" w:ascii="Times New Roman" w:hAnsi="Times New Roman" w:eastAsia="宋体"/>
          <w:b w:val="0"/>
          <w:bCs w:val="0"/>
          <w:sz w:val="24"/>
          <w:lang w:val="en-US" w:eastAsia="zh-CN"/>
        </w:rPr>
        <w:t>试运行前，组织</w:t>
      </w:r>
      <w:r>
        <w:rPr>
          <w:rFonts w:hint="eastAsia" w:ascii="Times New Roman" w:hAnsi="Times New Roman" w:eastAsia="宋体"/>
          <w:b w:val="0"/>
          <w:bCs w:val="0"/>
          <w:sz w:val="24"/>
          <w:lang w:val="en-US" w:eastAsia="zh-CN"/>
        </w:rPr>
        <w:t>工作</w:t>
      </w:r>
      <w:r>
        <w:rPr>
          <w:rFonts w:hint="default" w:ascii="Times New Roman" w:hAnsi="Times New Roman" w:eastAsia="宋体"/>
          <w:b w:val="0"/>
          <w:bCs w:val="0"/>
          <w:sz w:val="24"/>
          <w:lang w:val="en-US" w:eastAsia="zh-CN"/>
        </w:rPr>
        <w:t>人员进行培训，制定生产操作流程、技术规范和安全环保管理制度。</w:t>
      </w:r>
    </w:p>
    <w:p w14:paraId="274A97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（15）</w:t>
      </w:r>
      <w:r>
        <w:rPr>
          <w:rFonts w:hint="default" w:ascii="Times New Roman" w:hAnsi="Times New Roman" w:eastAsia="宋体"/>
          <w:b w:val="0"/>
          <w:bCs w:val="0"/>
          <w:sz w:val="24"/>
          <w:lang w:val="en-US" w:eastAsia="zh-CN"/>
        </w:rPr>
        <w:t>参照《危险废物产生单位记录和报告经营情况指南》建立危险废物经营情况记录簿，如实记载收集、贮存、处置危险废物的类别、来源去向和有无事故等事项</w:t>
      </w:r>
      <w:r>
        <w:rPr>
          <w:rFonts w:hint="eastAsia" w:ascii="Times New Roman" w:hAnsi="Times New Roman" w:eastAsia="宋体"/>
          <w:b w:val="0"/>
          <w:bCs w:val="0"/>
          <w:sz w:val="24"/>
          <w:lang w:val="en-US" w:eastAsia="zh-CN"/>
        </w:rPr>
        <w:t>。</w:t>
      </w:r>
    </w:p>
    <w:p w14:paraId="4FADB4CE">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82" w:firstLineChars="200"/>
        <w:jc w:val="left"/>
        <w:textAlignment w:val="auto"/>
        <w:rPr>
          <w:rFonts w:hint="default" w:ascii="Times New Roman" w:hAnsi="Times New Roman" w:eastAsia="宋体"/>
          <w:b/>
          <w:bCs/>
          <w:sz w:val="24"/>
          <w:lang w:val="en-US" w:eastAsia="zh-CN"/>
        </w:rPr>
      </w:pPr>
      <w:r>
        <w:rPr>
          <w:rFonts w:hint="eastAsia" w:ascii="Times New Roman" w:hAnsi="Times New Roman" w:eastAsia="宋体"/>
          <w:b/>
          <w:bCs/>
          <w:sz w:val="24"/>
          <w:lang w:val="en-US" w:eastAsia="zh-CN"/>
        </w:rPr>
        <w:t>6、拟环保竣工验收时间：</w:t>
      </w:r>
      <w:r>
        <w:rPr>
          <w:rFonts w:hint="default" w:ascii="Times New Roman" w:hAnsi="Times New Roman" w:eastAsia="宋体" w:cs="Times New Roman"/>
          <w:spacing w:val="2"/>
          <w:sz w:val="23"/>
          <w:szCs w:val="23"/>
        </w:rPr>
        <w:t>临时危废经营许可证到期前。</w:t>
      </w:r>
    </w:p>
    <w:p w14:paraId="4D366A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b w:val="0"/>
          <w:bCs w:val="0"/>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TimesNewRoman">
    <w:altName w:val="Times New Roman"/>
    <w:panose1 w:val="00000000000000000000"/>
    <w:charset w:val="01"/>
    <w:family w:val="auto"/>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Li Super">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C43EFD"/>
    <w:multiLevelType w:val="singleLevel"/>
    <w:tmpl w:val="1DC43EFD"/>
    <w:lvl w:ilvl="0" w:tentative="0">
      <w:start w:val="1"/>
      <w:numFmt w:val="bullet"/>
      <w:pStyle w:val="6"/>
      <w:lvlText w:val=""/>
      <w:lvlJc w:val="left"/>
      <w:pPr>
        <w:tabs>
          <w:tab w:val="left" w:pos="780"/>
        </w:tabs>
        <w:ind w:left="780" w:hanging="360"/>
      </w:pPr>
      <w:rPr>
        <w:rFonts w:hint="default" w:ascii="Wingdings" w:hAnsi="Wingdings"/>
      </w:rPr>
    </w:lvl>
  </w:abstractNum>
  <w:abstractNum w:abstractNumId="1">
    <w:nsid w:val="762E176F"/>
    <w:multiLevelType w:val="multilevel"/>
    <w:tmpl w:val="762E176F"/>
    <w:lvl w:ilvl="0" w:tentative="0">
      <w:start w:val="1"/>
      <w:numFmt w:val="decimal"/>
      <w:lvlText w:val="%1"/>
      <w:lvlJc w:val="left"/>
      <w:pPr>
        <w:tabs>
          <w:tab w:val="left" w:pos="432"/>
        </w:tabs>
        <w:ind w:left="432" w:hanging="432"/>
      </w:pPr>
      <w:rPr>
        <w:rFonts w:hint="eastAsia"/>
      </w:rPr>
    </w:lvl>
    <w:lvl w:ilvl="1" w:tentative="0">
      <w:start w:val="1"/>
      <w:numFmt w:val="decimal"/>
      <w:pStyle w:val="8"/>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jMGY3NGYxYjdhZmU4ZmE5YzUwMzU0YjE4MjI4NDUifQ=="/>
  </w:docVars>
  <w:rsids>
    <w:rsidRoot w:val="00000000"/>
    <w:rsid w:val="491D0656"/>
    <w:rsid w:val="5DAB5AB2"/>
    <w:rsid w:val="66115E26"/>
    <w:rsid w:val="7F6B05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0">
    <w:name w:val="Default Paragraph Font"/>
    <w:semiHidden/>
    <w:uiPriority w:val="0"/>
  </w:style>
  <w:style w:type="table" w:default="1" w:styleId="18">
    <w:name w:val="Normal Table"/>
    <w:semiHidden/>
    <w:uiPriority w:val="0"/>
    <w:tblPr>
      <w:tblCellMar>
        <w:top w:w="0" w:type="dxa"/>
        <w:left w:w="108" w:type="dxa"/>
        <w:bottom w:w="0" w:type="dxa"/>
        <w:right w:w="108" w:type="dxa"/>
      </w:tblCellMar>
    </w:tblPr>
  </w:style>
  <w:style w:type="paragraph" w:styleId="2">
    <w:name w:val="E-mail Signature"/>
    <w:basedOn w:val="1"/>
    <w:next w:val="3"/>
    <w:qFormat/>
    <w:uiPriority w:val="0"/>
    <w:pPr>
      <w:spacing w:line="360" w:lineRule="auto"/>
    </w:pPr>
    <w:rPr>
      <w:rFonts w:ascii="TimesNewRoman" w:hAnsi="TimesNewRoman"/>
      <w:sz w:val="24"/>
      <w:szCs w:val="20"/>
    </w:rPr>
  </w:style>
  <w:style w:type="paragraph" w:customStyle="1" w:styleId="3">
    <w:name w:val="文章"/>
    <w:basedOn w:val="4"/>
    <w:next w:val="5"/>
    <w:qFormat/>
    <w:uiPriority w:val="0"/>
    <w:pPr>
      <w:spacing w:before="100" w:beforeAutospacing="1" w:after="100" w:afterAutospacing="1" w:line="240" w:lineRule="auto"/>
      <w:ind w:firstLine="200" w:firstLineChars="200"/>
    </w:pPr>
    <w:rPr>
      <w:rFonts w:ascii="Li Super" w:hAnsi="Li Super" w:eastAsia="Tahoma" w:cs="TimesNewRoman"/>
      <w:sz w:val="24"/>
      <w:szCs w:val="24"/>
    </w:rPr>
  </w:style>
  <w:style w:type="paragraph" w:styleId="4">
    <w:name w:val="Body Text Indent"/>
    <w:basedOn w:val="1"/>
    <w:next w:val="1"/>
    <w:qFormat/>
    <w:uiPriority w:val="0"/>
    <w:pPr>
      <w:spacing w:after="120" w:afterLines="0"/>
      <w:ind w:left="420" w:leftChars="200"/>
    </w:pPr>
  </w:style>
  <w:style w:type="paragraph" w:styleId="5">
    <w:name w:val="List"/>
    <w:basedOn w:val="1"/>
    <w:next w:val="6"/>
    <w:qFormat/>
    <w:uiPriority w:val="0"/>
    <w:pPr>
      <w:spacing w:line="360" w:lineRule="exact"/>
      <w:jc w:val="center"/>
    </w:pPr>
    <w:rPr>
      <w:rFonts w:ascii="仿宋_GB2312" w:eastAsia="仿宋_GB2312"/>
    </w:rPr>
  </w:style>
  <w:style w:type="paragraph" w:styleId="6">
    <w:name w:val="List Bullet 2"/>
    <w:basedOn w:val="1"/>
    <w:next w:val="7"/>
    <w:qFormat/>
    <w:uiPriority w:val="0"/>
    <w:pPr>
      <w:numPr>
        <w:ilvl w:val="0"/>
        <w:numId w:val="1"/>
      </w:numPr>
    </w:pPr>
  </w:style>
  <w:style w:type="paragraph" w:customStyle="1" w:styleId="7">
    <w:name w:val="xl70"/>
    <w:basedOn w:val="1"/>
    <w:next w:val="8"/>
    <w:qFormat/>
    <w:uiPriority w:val="0"/>
    <w:pPr>
      <w:widowControl/>
      <w:pBdr>
        <w:bottom w:val="single" w:color="auto" w:sz="8" w:space="0"/>
        <w:right w:val="single" w:color="auto" w:sz="8" w:space="0"/>
      </w:pBdr>
      <w:spacing w:before="100" w:beforeAutospacing="1" w:after="100" w:afterAutospacing="1"/>
      <w:jc w:val="center"/>
    </w:pPr>
    <w:rPr>
      <w:kern w:val="0"/>
    </w:rPr>
  </w:style>
  <w:style w:type="paragraph" w:customStyle="1" w:styleId="8">
    <w:name w:val="正文缩进1"/>
    <w:basedOn w:val="1"/>
    <w:next w:val="9"/>
    <w:qFormat/>
    <w:uiPriority w:val="0"/>
    <w:pPr>
      <w:numPr>
        <w:ilvl w:val="1"/>
        <w:numId w:val="2"/>
      </w:numPr>
      <w:tabs>
        <w:tab w:val="clear" w:pos="576"/>
      </w:tabs>
      <w:spacing w:line="480" w:lineRule="exact"/>
      <w:ind w:left="0" w:firstLine="560" w:firstLineChars="200"/>
    </w:pPr>
    <w:rPr>
      <w:rFonts w:ascii="仿宋_GB2312" w:hAnsi="宋体" w:eastAsia="仿宋_GB2312"/>
      <w:sz w:val="28"/>
      <w:szCs w:val="24"/>
    </w:rPr>
  </w:style>
  <w:style w:type="paragraph" w:customStyle="1" w:styleId="9">
    <w:name w:val="td1"/>
    <w:basedOn w:val="1"/>
    <w:next w:val="1"/>
    <w:qFormat/>
    <w:uiPriority w:val="0"/>
    <w:pPr>
      <w:widowControl/>
      <w:autoSpaceDE/>
      <w:autoSpaceDN/>
      <w:spacing w:before="280" w:after="280" w:line="300" w:lineRule="atLeast"/>
      <w:ind w:left="0" w:firstLine="200"/>
    </w:pPr>
    <w:rPr>
      <w:rFonts w:ascii="Times New Roman" w:eastAsia="宋体"/>
      <w:color w:val="000000"/>
      <w:sz w:val="18"/>
    </w:rPr>
  </w:style>
  <w:style w:type="paragraph" w:styleId="10">
    <w:name w:val="Body Text"/>
    <w:basedOn w:val="1"/>
    <w:next w:val="1"/>
    <w:qFormat/>
    <w:uiPriority w:val="0"/>
    <w:pPr>
      <w:widowControl/>
      <w:snapToGrid w:val="0"/>
      <w:spacing w:before="60" w:after="160" w:line="259" w:lineRule="auto"/>
      <w:ind w:right="113"/>
    </w:pPr>
    <w:rPr>
      <w:kern w:val="0"/>
      <w:sz w:val="18"/>
      <w:szCs w:val="20"/>
    </w:rPr>
  </w:style>
  <w:style w:type="paragraph" w:styleId="11">
    <w:name w:val="Plain Text"/>
    <w:basedOn w:val="1"/>
    <w:qFormat/>
    <w:uiPriority w:val="0"/>
    <w:rPr>
      <w:rFonts w:ascii="宋体" w:hAnsi="Courier New" w:cs="Courier New"/>
      <w:szCs w:val="21"/>
    </w:rPr>
  </w:style>
  <w:style w:type="paragraph" w:styleId="12">
    <w:name w:val="endnote text"/>
    <w:basedOn w:val="1"/>
    <w:qFormat/>
    <w:uiPriority w:val="0"/>
    <w:pPr>
      <w:adjustRightInd w:val="0"/>
      <w:snapToGrid w:val="0"/>
      <w:spacing w:line="360" w:lineRule="auto"/>
      <w:ind w:firstLine="200" w:firstLineChars="200"/>
      <w:jc w:val="left"/>
    </w:pPr>
    <w:rPr>
      <w:rFonts w:ascii="TimesNewRoman" w:hAnsi="TimesNewRoman"/>
      <w:sz w:val="18"/>
      <w:szCs w:val="18"/>
    </w:rPr>
  </w:style>
  <w:style w:type="paragraph" w:styleId="13">
    <w:name w:val="header"/>
    <w:basedOn w:val="1"/>
    <w:next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14">
    <w:name w:val="样式5"/>
    <w:basedOn w:val="15"/>
    <w:next w:val="12"/>
    <w:qFormat/>
    <w:uiPriority w:val="0"/>
    <w:pPr>
      <w:tabs>
        <w:tab w:val="left" w:pos="360"/>
      </w:tabs>
      <w:adjustRightInd w:val="0"/>
      <w:snapToGrid w:val="0"/>
      <w:jc w:val="center"/>
    </w:pPr>
    <w:rPr>
      <w:kern w:val="0"/>
      <w:szCs w:val="24"/>
    </w:rPr>
  </w:style>
  <w:style w:type="paragraph" w:customStyle="1" w:styleId="15">
    <w:name w:val="样式12"/>
    <w:basedOn w:val="1"/>
    <w:qFormat/>
    <w:uiPriority w:val="0"/>
    <w:pPr>
      <w:keepNext/>
      <w:keepLines/>
      <w:tabs>
        <w:tab w:val="left" w:pos="360"/>
      </w:tabs>
      <w:spacing w:before="156" w:beforeLines="50" w:after="156" w:afterLines="50" w:line="360" w:lineRule="auto"/>
      <w:ind w:left="567" w:hanging="567"/>
      <w:outlineLvl w:val="1"/>
    </w:pPr>
    <w:rPr>
      <w:rFonts w:ascii="Times New Roman" w:hAnsi="Times New Roman" w:eastAsia="MS Mincho"/>
      <w:kern w:val="0"/>
      <w:sz w:val="28"/>
      <w:szCs w:val="28"/>
    </w:rPr>
  </w:style>
  <w:style w:type="paragraph" w:styleId="16">
    <w:name w:val="toc 2"/>
    <w:basedOn w:val="1"/>
    <w:next w:val="2"/>
    <w:qFormat/>
    <w:uiPriority w:val="39"/>
    <w:pPr>
      <w:tabs>
        <w:tab w:val="right" w:leader="dot" w:pos="8778"/>
      </w:tabs>
      <w:spacing w:line="420" w:lineRule="exact"/>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Default"/>
    <w:basedOn w:val="22"/>
    <w:next w:val="2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2">
    <w:name w:val="纯文本1"/>
    <w:basedOn w:val="1"/>
    <w:qFormat/>
    <w:uiPriority w:val="0"/>
    <w:pPr>
      <w:adjustRightInd w:val="0"/>
    </w:pPr>
    <w:rPr>
      <w:rFonts w:ascii="宋体" w:hAnsi="Courier New"/>
      <w:szCs w:val="20"/>
    </w:rPr>
  </w:style>
  <w:style w:type="paragraph" w:customStyle="1" w:styleId="23">
    <w:name w:val="样式35"/>
    <w:basedOn w:val="24"/>
    <w:next w:val="26"/>
    <w:qFormat/>
    <w:uiPriority w:val="0"/>
    <w:pPr>
      <w:widowControl w:val="0"/>
      <w:tabs>
        <w:tab w:val="left" w:pos="0"/>
        <w:tab w:val="left" w:pos="360"/>
        <w:tab w:val="left" w:pos="420"/>
        <w:tab w:val="left" w:pos="540"/>
        <w:tab w:val="left" w:pos="567"/>
        <w:tab w:val="left" w:pos="1260"/>
      </w:tabs>
      <w:autoSpaceDE/>
      <w:autoSpaceDN/>
      <w:spacing w:before="0" w:after="0" w:line="312" w:lineRule="auto"/>
      <w:ind w:left="0" w:firstLine="567"/>
      <w:jc w:val="both"/>
    </w:pPr>
    <w:rPr>
      <w:rFonts w:ascii="宋体" w:eastAsia="宋体"/>
      <w:sz w:val="28"/>
    </w:rPr>
  </w:style>
  <w:style w:type="paragraph" w:customStyle="1" w:styleId="24">
    <w:name w:val="样式26"/>
    <w:basedOn w:val="25"/>
    <w:qFormat/>
    <w:uiPriority w:val="0"/>
    <w:pPr>
      <w:tabs>
        <w:tab w:val="left" w:pos="0"/>
        <w:tab w:val="left" w:pos="360"/>
        <w:tab w:val="left" w:pos="420"/>
        <w:tab w:val="left" w:pos="540"/>
        <w:tab w:val="left" w:pos="567"/>
        <w:tab w:val="left" w:pos="1260"/>
      </w:tabs>
    </w:pPr>
  </w:style>
  <w:style w:type="paragraph" w:customStyle="1" w:styleId="25">
    <w:name w:val="样式21"/>
    <w:basedOn w:val="14"/>
    <w:qFormat/>
    <w:uiPriority w:val="0"/>
    <w:pPr>
      <w:tabs>
        <w:tab w:val="left" w:pos="420"/>
        <w:tab w:val="left" w:pos="567"/>
        <w:tab w:val="left" w:pos="1260"/>
      </w:tabs>
      <w:spacing w:before="120" w:beforeLines="0" w:after="120" w:afterLines="0"/>
      <w:ind w:hanging="992"/>
    </w:pPr>
  </w:style>
  <w:style w:type="paragraph" w:customStyle="1" w:styleId="26">
    <w:name w:val="font6"/>
    <w:basedOn w:val="1"/>
    <w:next w:val="16"/>
    <w:qFormat/>
    <w:uiPriority w:val="0"/>
    <w:pPr>
      <w:widowControl/>
      <w:spacing w:before="100" w:beforeLines="0" w:beforeAutospacing="1" w:after="100" w:afterLines="0" w:afterAutospacing="1"/>
      <w:jc w:val="left"/>
    </w:pPr>
    <w:rPr>
      <w:rFonts w:eastAsia="Arial Unicode MS"/>
      <w:kern w:val="0"/>
      <w:sz w:val="24"/>
    </w:rPr>
  </w:style>
  <w:style w:type="table" w:customStyle="1" w:styleId="2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451</Words>
  <Characters>610</Characters>
  <Lines>0</Lines>
  <Paragraphs>0</Paragraphs>
  <TotalTime>0</TotalTime>
  <ScaleCrop>false</ScaleCrop>
  <LinksUpToDate>false</LinksUpToDate>
  <CharactersWithSpaces>610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2022-11-10T01:36:00Z</dcterms:created>
  <dc:creator>Administrator</dc:creator>
  <cp:lastModifiedBy>LENOVO</cp:lastModifiedBy>
  <dcterms:modified xsi:type="dcterms:W3CDTF">2026-08-12T01:41:27Z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F2952FEC3455468B813895893385CB49</vt:lpwstr>
  </property>
  <property fmtid="{D5CDD505-2E9C-101B-9397-08002B2CF9AE}" pid="4" name="KSOTemplateDocerSaveRecord">
    <vt:lpwstr>eyJoZGlkIjoiNTU0ZmIwYTQ3NzlmZGUxZmU3Zjk0M2IyZTNmM2IxNjAiLCJ1c2VySWQiOiIxMDI1NzE3NzU3In0=</vt:lpwstr>
  </property>
</Properties>
</file>